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46" w:rsidRDefault="000E5646" w:rsidP="000E5646">
      <w:pPr>
        <w:shd w:val="clear" w:color="auto" w:fill="FFFFFF"/>
        <w:spacing w:before="75" w:after="0" w:line="240" w:lineRule="auto"/>
        <w:jc w:val="center"/>
        <w:rPr>
          <w:rFonts w:asciiTheme="majorHAnsi" w:eastAsia="Times New Roman" w:hAnsiTheme="majorHAnsi" w:cstheme="majorHAnsi"/>
          <w:i/>
          <w:iCs/>
          <w:color w:val="222222"/>
          <w:sz w:val="28"/>
          <w:szCs w:val="28"/>
          <w:lang w:val="en-US" w:eastAsia="vi-VN"/>
        </w:rPr>
      </w:pPr>
      <w:r>
        <w:rPr>
          <w:rFonts w:asciiTheme="majorHAnsi" w:eastAsia="Times New Roman" w:hAnsiTheme="majorHAnsi" w:cstheme="majorHAnsi"/>
          <w:i/>
          <w:iCs/>
          <w:color w:val="222222"/>
          <w:sz w:val="28"/>
          <w:szCs w:val="28"/>
          <w:lang w:val="en-US" w:eastAsia="vi-VN"/>
        </w:rPr>
        <w:t>ĐỂ CƯƠNG TUYÊN TRUYỀN</w:t>
      </w:r>
    </w:p>
    <w:p w:rsidR="000E5646" w:rsidRPr="000E5646" w:rsidRDefault="000E5646" w:rsidP="000E5646">
      <w:pPr>
        <w:shd w:val="clear" w:color="auto" w:fill="FFFFFF"/>
        <w:spacing w:before="75" w:after="0" w:line="240" w:lineRule="auto"/>
        <w:jc w:val="center"/>
        <w:rPr>
          <w:rFonts w:asciiTheme="majorHAnsi" w:eastAsia="Times New Roman" w:hAnsiTheme="majorHAnsi" w:cstheme="majorHAnsi"/>
          <w:color w:val="222222"/>
          <w:sz w:val="28"/>
          <w:szCs w:val="28"/>
          <w:lang w:val="en-US" w:eastAsia="vi-VN"/>
        </w:rPr>
      </w:pPr>
      <w:r w:rsidRPr="000E5646">
        <w:rPr>
          <w:rFonts w:asciiTheme="majorHAnsi" w:eastAsia="Times New Roman" w:hAnsiTheme="majorHAnsi" w:cstheme="majorHAnsi"/>
          <w:i/>
          <w:iCs/>
          <w:color w:val="222222"/>
          <w:sz w:val="28"/>
          <w:szCs w:val="28"/>
          <w:lang w:eastAsia="vi-VN"/>
        </w:rPr>
        <w:t>Chính sách mới nổi bật có hiệu lực từ tháng 10/2019</w:t>
      </w:r>
    </w:p>
    <w:p w:rsidR="000E5646" w:rsidRPr="000E5646" w:rsidRDefault="000E5646" w:rsidP="000E5646">
      <w:pPr>
        <w:shd w:val="clear" w:color="auto" w:fill="FFFFFF"/>
        <w:spacing w:after="0" w:line="240" w:lineRule="auto"/>
        <w:jc w:val="center"/>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br/>
      </w:r>
      <w:r>
        <w:rPr>
          <w:rFonts w:asciiTheme="majorHAnsi" w:eastAsia="Times New Roman" w:hAnsiTheme="majorHAnsi" w:cstheme="majorHAnsi"/>
          <w:b/>
          <w:bCs/>
          <w:color w:val="222222"/>
          <w:sz w:val="28"/>
          <w:szCs w:val="28"/>
          <w:lang w:val="en-US" w:eastAsia="vi-VN"/>
        </w:rPr>
        <w:t xml:space="preserve">LĨNH VỰC </w:t>
      </w:r>
      <w:r w:rsidRPr="000E5646">
        <w:rPr>
          <w:rFonts w:asciiTheme="majorHAnsi" w:eastAsia="Times New Roman" w:hAnsiTheme="majorHAnsi" w:cstheme="majorHAnsi"/>
          <w:b/>
          <w:bCs/>
          <w:color w:val="222222"/>
          <w:sz w:val="28"/>
          <w:szCs w:val="28"/>
          <w:lang w:eastAsia="vi-VN"/>
        </w:rPr>
        <w:t>GIAO THÔNG</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b/>
          <w:bCs/>
          <w:color w:val="222222"/>
          <w:sz w:val="28"/>
          <w:szCs w:val="28"/>
          <w:lang w:eastAsia="vi-VN"/>
        </w:rPr>
        <w:t>Tốc độ tối đa của ô tô, xe máy khi tham gia giao thông</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Một trong những văn bản đáng chú ý nhất có hiệu lực trong tháng 10/2019 là Thông tư </w:t>
      </w:r>
      <w:hyperlink r:id="rId4" w:history="1">
        <w:r w:rsidRPr="000E5646">
          <w:rPr>
            <w:rFonts w:asciiTheme="majorHAnsi" w:eastAsia="Times New Roman" w:hAnsiTheme="majorHAnsi" w:cstheme="majorHAnsi"/>
            <w:color w:val="A67942"/>
            <w:sz w:val="28"/>
            <w:szCs w:val="28"/>
            <w:u w:val="single"/>
            <w:lang w:eastAsia="vi-VN"/>
          </w:rPr>
          <w:t>31/2019/TT-BGTVT</w:t>
        </w:r>
      </w:hyperlink>
      <w:r w:rsidRPr="000E5646">
        <w:rPr>
          <w:rFonts w:asciiTheme="majorHAnsi" w:eastAsia="Times New Roman" w:hAnsiTheme="majorHAnsi" w:cstheme="majorHAnsi"/>
          <w:color w:val="222222"/>
          <w:sz w:val="28"/>
          <w:szCs w:val="28"/>
          <w:lang w:eastAsia="vi-VN"/>
        </w:rPr>
        <w:t> của Bộ Giao thông Vận tải về tốc độ của xe khi tham gia giao thông.</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Cụ thể như sau:</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Ở trong khu vực đông dân cư:</w:t>
      </w:r>
    </w:p>
    <w:p w:rsidR="000E5646" w:rsidRPr="000E5646" w:rsidRDefault="000E5646" w:rsidP="000E5646">
      <w:pPr>
        <w:spacing w:after="0" w:line="240" w:lineRule="auto"/>
        <w:jc w:val="both"/>
        <w:rPr>
          <w:rFonts w:asciiTheme="majorHAnsi" w:eastAsia="Times New Roman" w:hAnsiTheme="majorHAnsi" w:cstheme="majorHAnsi"/>
          <w:sz w:val="28"/>
          <w:szCs w:val="28"/>
          <w:lang w:eastAsia="vi-VN"/>
        </w:rPr>
      </w:pPr>
      <w:r w:rsidRPr="000E5646">
        <w:rPr>
          <w:rFonts w:asciiTheme="majorHAnsi" w:eastAsia="Times New Roman" w:hAnsiTheme="majorHAnsi" w:cstheme="majorHAnsi"/>
          <w:color w:val="222222"/>
          <w:sz w:val="28"/>
          <w:szCs w:val="28"/>
          <w:shd w:val="clear" w:color="auto" w:fill="FFFFFF"/>
          <w:lang w:eastAsia="vi-VN"/>
        </w:rPr>
        <w:t>+ 60km/giờ nếu chạy trên đường đôi hoặc đường một chiều có từ 2 làn trở lên;</w:t>
      </w:r>
      <w:r w:rsidRPr="000E5646">
        <w:rPr>
          <w:rFonts w:asciiTheme="majorHAnsi" w:eastAsia="Times New Roman" w:hAnsiTheme="majorHAnsi" w:cstheme="majorHAnsi"/>
          <w:color w:val="222222"/>
          <w:sz w:val="28"/>
          <w:szCs w:val="28"/>
          <w:shd w:val="clear" w:color="auto" w:fill="FFFFFF"/>
          <w:lang w:eastAsia="vi-VN"/>
        </w:rPr>
        <w:br/>
      </w:r>
      <w:r w:rsidRPr="000E5646">
        <w:rPr>
          <w:rFonts w:asciiTheme="majorHAnsi" w:eastAsia="Times New Roman" w:hAnsiTheme="majorHAnsi" w:cstheme="majorHAnsi"/>
          <w:color w:val="222222"/>
          <w:sz w:val="28"/>
          <w:szCs w:val="28"/>
          <w:shd w:val="clear" w:color="auto" w:fill="FFFFFF"/>
          <w:lang w:eastAsia="vi-VN"/>
        </w:rPr>
        <w:br/>
        <w:t>+ 50km/giờ nếu là đường hai chiều không có dải phân cách giữa hoặc đường một chiều có 01 làn xe.</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Nếu ở ngoài khu vực dân cư:</w:t>
      </w:r>
    </w:p>
    <w:p w:rsidR="000E5646" w:rsidRPr="000E5646" w:rsidRDefault="000E5646" w:rsidP="000E5646">
      <w:pPr>
        <w:spacing w:after="0" w:line="240" w:lineRule="auto"/>
        <w:jc w:val="both"/>
        <w:rPr>
          <w:rFonts w:asciiTheme="majorHAnsi" w:eastAsia="Times New Roman" w:hAnsiTheme="majorHAnsi" w:cstheme="majorHAnsi"/>
          <w:sz w:val="28"/>
          <w:szCs w:val="28"/>
          <w:lang w:eastAsia="vi-VN"/>
        </w:rPr>
      </w:pPr>
      <w:r w:rsidRPr="000E5646">
        <w:rPr>
          <w:rFonts w:asciiTheme="majorHAnsi" w:eastAsia="Times New Roman" w:hAnsiTheme="majorHAnsi" w:cstheme="majorHAnsi"/>
          <w:color w:val="222222"/>
          <w:sz w:val="28"/>
          <w:szCs w:val="28"/>
          <w:shd w:val="clear" w:color="auto" w:fill="FFFFFF"/>
          <w:lang w:eastAsia="vi-VN"/>
        </w:rPr>
        <w:t>+ 90km/giờ đối với ô tô con, ô tô đến 30 chỗ ngồi; 70km/giờ đối với xe máy nếu chạy trên đường đôi hoặc đường một chiều có 2 làn trở lên;</w:t>
      </w:r>
      <w:r w:rsidRPr="000E5646">
        <w:rPr>
          <w:rFonts w:asciiTheme="majorHAnsi" w:eastAsia="Times New Roman" w:hAnsiTheme="majorHAnsi" w:cstheme="majorHAnsi"/>
          <w:color w:val="222222"/>
          <w:sz w:val="28"/>
          <w:szCs w:val="28"/>
          <w:shd w:val="clear" w:color="auto" w:fill="FFFFFF"/>
          <w:lang w:eastAsia="vi-VN"/>
        </w:rPr>
        <w:br/>
      </w:r>
      <w:r w:rsidRPr="000E5646">
        <w:rPr>
          <w:rFonts w:asciiTheme="majorHAnsi" w:eastAsia="Times New Roman" w:hAnsiTheme="majorHAnsi" w:cstheme="majorHAnsi"/>
          <w:color w:val="222222"/>
          <w:sz w:val="28"/>
          <w:szCs w:val="28"/>
          <w:shd w:val="clear" w:color="auto" w:fill="FFFFFF"/>
          <w:lang w:eastAsia="vi-VN"/>
        </w:rPr>
        <w:br/>
        <w:t>+ 80km/giờ đối với ô tô con, ô tô đến 30 chỗ ngồi; 60km/giờ đối với xe máy nếu chạy trên đường hai chiều không có dải phân cách giữa hoặc đường một chiều có 1 làn xe.</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Riêng với xe gắn máy (xe dưới 50 phân khối), tốc độ tối đa là 40km/giờ, bất kể trên đoạn đường nào và trong khu vực nào.</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Thông tư này có hiệu lực từ ngày 15/10/2019.</w:t>
      </w:r>
    </w:p>
    <w:p w:rsidR="000E5646" w:rsidRPr="000E5646" w:rsidRDefault="000E5646" w:rsidP="000E5646">
      <w:pPr>
        <w:shd w:val="clear" w:color="auto" w:fill="FFFFFF"/>
        <w:spacing w:after="0" w:line="240" w:lineRule="auto"/>
        <w:jc w:val="center"/>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br/>
      </w:r>
      <w:r>
        <w:rPr>
          <w:rFonts w:asciiTheme="majorHAnsi" w:eastAsia="Times New Roman" w:hAnsiTheme="majorHAnsi" w:cstheme="majorHAnsi"/>
          <w:b/>
          <w:bCs/>
          <w:color w:val="222222"/>
          <w:sz w:val="28"/>
          <w:szCs w:val="28"/>
          <w:lang w:val="en-US" w:eastAsia="vi-VN"/>
        </w:rPr>
        <w:t xml:space="preserve">LĨNH VỰC </w:t>
      </w:r>
      <w:r w:rsidRPr="000E5646">
        <w:rPr>
          <w:rFonts w:asciiTheme="majorHAnsi" w:eastAsia="Times New Roman" w:hAnsiTheme="majorHAnsi" w:cstheme="majorHAnsi"/>
          <w:b/>
          <w:bCs/>
          <w:color w:val="222222"/>
          <w:sz w:val="28"/>
          <w:szCs w:val="28"/>
          <w:lang w:eastAsia="vi-VN"/>
        </w:rPr>
        <w:t>CHÍNH SÁCH</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b/>
          <w:bCs/>
          <w:color w:val="222222"/>
          <w:sz w:val="28"/>
          <w:szCs w:val="28"/>
          <w:lang w:eastAsia="vi-VN"/>
        </w:rPr>
        <w:t>Điều kiện chuyển từ nghĩa vụ công an sang chuyên nghiệp      </w:t>
      </w:r>
      <w:r w:rsidRPr="000E5646">
        <w:rPr>
          <w:rFonts w:asciiTheme="majorHAnsi" w:eastAsia="Times New Roman" w:hAnsiTheme="majorHAnsi" w:cstheme="majorHAnsi"/>
          <w:color w:val="222222"/>
          <w:sz w:val="28"/>
          <w:szCs w:val="28"/>
          <w:lang w:eastAsia="vi-VN"/>
        </w:rPr>
        <w:t> </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Từ ngày 10/10/2019, Nghị định </w:t>
      </w:r>
      <w:hyperlink r:id="rId5" w:history="1">
        <w:r w:rsidRPr="000E5646">
          <w:rPr>
            <w:rFonts w:asciiTheme="majorHAnsi" w:eastAsia="Times New Roman" w:hAnsiTheme="majorHAnsi" w:cstheme="majorHAnsi"/>
            <w:color w:val="A67942"/>
            <w:sz w:val="28"/>
            <w:szCs w:val="28"/>
            <w:u w:val="single"/>
            <w:lang w:eastAsia="vi-VN"/>
          </w:rPr>
          <w:t>70/2019/NĐ-CP</w:t>
        </w:r>
      </w:hyperlink>
      <w:r w:rsidRPr="000E5646">
        <w:rPr>
          <w:rFonts w:asciiTheme="majorHAnsi" w:eastAsia="Times New Roman" w:hAnsiTheme="majorHAnsi" w:cstheme="majorHAnsi"/>
          <w:color w:val="222222"/>
          <w:sz w:val="28"/>
          <w:szCs w:val="28"/>
          <w:lang w:eastAsia="vi-VN"/>
        </w:rPr>
        <w:t> về nghĩa vụ công an của Chính phủ chính thức có hiệu lực.</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Nghị định này quy định có 2 trường hợp công an nghĩa vụ được chuyển sang chế độ phục vụ chuyên nghiệp, gồm:</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Phục vụ tại ngũ từ 15 tháng đến dưới 24 tháng, hàng năm đều hoàn thành nhiệm vụ, bảo đảm các tiêu chuẩn theo chế độ chuyên nghiệp thì được xét, dự tuyển vào các trường Công an nhân dân. Khi tốt nghiệp ra trường được phong cấp bậc hàm sĩ quan, hạ sĩ quan chuyên nghiệp.</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Người không thuộc trường hợp nêu trên, hết thời hạn phục vụ tại ngũ có đủ các tiêu chuẩn đáp ứng yêu cầu của công an nhân dân, nếu tự nguyện và công an nhân dân có nhu cầu thì được xét chuyển sang chế độ phục vụ chuyên nghiệp.</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b/>
          <w:bCs/>
          <w:color w:val="222222"/>
          <w:sz w:val="28"/>
          <w:szCs w:val="28"/>
          <w:lang w:eastAsia="vi-VN"/>
        </w:rPr>
        <w:t>Người huyện nghèo đi xuất khẩu lao động được vay 100% vốn ưu đãi</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Đây là tinh thần của Quyết định số </w:t>
      </w:r>
      <w:hyperlink r:id="rId6" w:history="1">
        <w:r w:rsidRPr="000E5646">
          <w:rPr>
            <w:rFonts w:asciiTheme="majorHAnsi" w:eastAsia="Times New Roman" w:hAnsiTheme="majorHAnsi" w:cstheme="majorHAnsi"/>
            <w:color w:val="A67942"/>
            <w:sz w:val="28"/>
            <w:szCs w:val="28"/>
            <w:u w:val="single"/>
            <w:lang w:eastAsia="vi-VN"/>
          </w:rPr>
          <w:t>27/2019/QĐ-TTg</w:t>
        </w:r>
      </w:hyperlink>
      <w:r w:rsidRPr="000E5646">
        <w:rPr>
          <w:rFonts w:asciiTheme="majorHAnsi" w:eastAsia="Times New Roman" w:hAnsiTheme="majorHAnsi" w:cstheme="majorHAnsi"/>
          <w:color w:val="222222"/>
          <w:sz w:val="28"/>
          <w:szCs w:val="28"/>
          <w:lang w:eastAsia="vi-VN"/>
        </w:rPr>
        <w:t> do Thủ tướng Chính phủ ban hành; áp dụng từ ngày 25/10/2019.</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lastRenderedPageBreak/>
        <w:t>Theo đó, những người lao động tại các huyện nghèo được vay đến 100% chi phí đi làm việc ở nước ngoài mà không cần phải đặt cọc, thế chấp, cầm cố tài sản...</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Tuy nhiên, để được vay số tiền này, người lao động phải có hộ khẩu thường trú tại huyện nghèo từ đủ 12 tháng trở lên; đã ký hợp đồng đi làm việc ở nước ngoài và được phía nước ngoài chấp nhận vào làm việc.</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Mức lãi suất vay ưu đãi như sau:</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Nếu thuộc hộ nghèo được vay vốn với lãi suất bằng 50% lãi suất cho vay đối với hộ nghèo do Chính phủ quy định;</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Nếu không thuộc hộ nghèo vẫn được vay vốn bằng mức lãi suất đối với hộ nghèo do Chính phủ quy định.</w:t>
      </w:r>
    </w:p>
    <w:p w:rsidR="000E5646" w:rsidRPr="000E5646" w:rsidRDefault="000E5646" w:rsidP="000E5646">
      <w:pPr>
        <w:shd w:val="clear" w:color="auto" w:fill="FFFFFF"/>
        <w:spacing w:after="0" w:line="240" w:lineRule="auto"/>
        <w:jc w:val="center"/>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br/>
      </w:r>
      <w:r w:rsidRPr="000E5646">
        <w:rPr>
          <w:rFonts w:asciiTheme="majorHAnsi" w:eastAsia="Times New Roman" w:hAnsiTheme="majorHAnsi" w:cstheme="majorHAnsi"/>
          <w:b/>
          <w:bCs/>
          <w:color w:val="222222"/>
          <w:sz w:val="28"/>
          <w:szCs w:val="28"/>
          <w:lang w:eastAsia="vi-VN"/>
        </w:rPr>
        <w:t>LĨNH VỰC THUẾ-PHÍ-LỆ PHÍ</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b/>
          <w:bCs/>
          <w:color w:val="222222"/>
          <w:sz w:val="28"/>
          <w:szCs w:val="28"/>
          <w:lang w:eastAsia="vi-VN"/>
        </w:rPr>
        <w:t>Lệ phí cấp thẻ Căn cước công dân từ 30.000 đồng</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Từ ngày 16/10/2019, áp dụng lệ phí cấp thẻ Căn cước công dân mới theo tinh thần của Thông tư </w:t>
      </w:r>
      <w:hyperlink r:id="rId7" w:history="1">
        <w:r w:rsidRPr="000E5646">
          <w:rPr>
            <w:rFonts w:asciiTheme="majorHAnsi" w:eastAsia="Times New Roman" w:hAnsiTheme="majorHAnsi" w:cstheme="majorHAnsi"/>
            <w:color w:val="A67942"/>
            <w:sz w:val="28"/>
            <w:szCs w:val="28"/>
            <w:u w:val="single"/>
            <w:lang w:eastAsia="vi-VN"/>
          </w:rPr>
          <w:t>59/2019/TT-BTC</w:t>
        </w:r>
      </w:hyperlink>
      <w:r w:rsidRPr="000E5646">
        <w:rPr>
          <w:rFonts w:asciiTheme="majorHAnsi" w:eastAsia="Times New Roman" w:hAnsiTheme="majorHAnsi" w:cstheme="majorHAnsi"/>
          <w:color w:val="222222"/>
          <w:sz w:val="28"/>
          <w:szCs w:val="28"/>
          <w:lang w:eastAsia="vi-VN"/>
        </w:rPr>
        <w:t> do Bộ Tài chính ban hành.</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Cụ thể như sau:</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Chuyển từ chứng minh nhân dân 9 số, 12 số sang thẻ Căn cước công dân: 30.000 đồng;</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Đổi thẻ Căn cước công dân khi bị hư hỏng không dùng được; khi có thay đổi thông tin cá nhân hoặc khi có sai sót về thông tin trên thẻ: 50.000 đồng</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Cấp lại thẻ Căn cước công dân do bị mất là 70.000 đồng.</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Nếu người từ đủ 14 tuổi làm thủ tục cấp thẻ Căn cước công dân lần đầu; Đổi thẻ khi có sai sót về thông tin trên thẻ do lỗi của cơ quan quản lý… không phải nộp lệ phí.</w:t>
      </w:r>
    </w:p>
    <w:p w:rsidR="000E5646" w:rsidRPr="000E5646" w:rsidRDefault="000E5646" w:rsidP="000E5646">
      <w:pPr>
        <w:shd w:val="clear" w:color="auto" w:fill="FFFFFF"/>
        <w:spacing w:after="0" w:line="240" w:lineRule="auto"/>
        <w:jc w:val="center"/>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br/>
      </w:r>
      <w:r w:rsidRPr="000E5646">
        <w:rPr>
          <w:rFonts w:asciiTheme="majorHAnsi" w:eastAsia="Times New Roman" w:hAnsiTheme="majorHAnsi" w:cstheme="majorHAnsi"/>
          <w:b/>
          <w:bCs/>
          <w:color w:val="222222"/>
          <w:sz w:val="28"/>
          <w:szCs w:val="28"/>
          <w:lang w:eastAsia="vi-VN"/>
        </w:rPr>
        <w:t>LĨNH VỰC GIÁO DỤC-ĐÀO TẠO-DẠY NGHỀ</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b/>
          <w:bCs/>
          <w:color w:val="222222"/>
          <w:sz w:val="28"/>
          <w:szCs w:val="28"/>
          <w:lang w:eastAsia="vi-VN"/>
        </w:rPr>
        <w:t>Giáo viên mầm non được học cách quản lý cảm xúc bản thân</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Chương trình bồi dưỡng thường xuyên cho giáo viên mầm non đã được Bộ Giáo dục và Đào tạo ban hành kèm theo Thông tư </w:t>
      </w:r>
      <w:hyperlink r:id="rId8" w:history="1">
        <w:r w:rsidRPr="000E5646">
          <w:rPr>
            <w:rFonts w:asciiTheme="majorHAnsi" w:eastAsia="Times New Roman" w:hAnsiTheme="majorHAnsi" w:cstheme="majorHAnsi"/>
            <w:color w:val="A67942"/>
            <w:sz w:val="28"/>
            <w:szCs w:val="28"/>
            <w:u w:val="single"/>
            <w:lang w:eastAsia="vi-VN"/>
          </w:rPr>
          <w:t>12/2019/TT-BGDĐT</w:t>
        </w:r>
      </w:hyperlink>
      <w:r w:rsidRPr="000E5646">
        <w:rPr>
          <w:rFonts w:asciiTheme="majorHAnsi" w:eastAsia="Times New Roman" w:hAnsiTheme="majorHAnsi" w:cstheme="majorHAnsi"/>
          <w:color w:val="222222"/>
          <w:sz w:val="28"/>
          <w:szCs w:val="28"/>
          <w:lang w:eastAsia="vi-VN"/>
        </w:rPr>
        <w:t>, có hiệu lực từ ngày 12/10/2019.</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Chương trình bồi dưỡng này được tổ chức hàng năm với các nội dung liên quan đến đạo đức nghề nghiệp; Rèn luyện phong cách làm việc khoa học; Đảm bảo an toàn cho trẻ trong các cơ sở mầm non; Kỹ năng sơ cứu trẻ em… và đặc biệt là cách quản lý cảm xúc của bản thân.</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Mỗi giáo viên phải tham gia Chương trình bồi dưỡng với thời lượng 120 tiết/năm học.</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b/>
          <w:bCs/>
          <w:color w:val="222222"/>
          <w:sz w:val="28"/>
          <w:szCs w:val="28"/>
          <w:lang w:eastAsia="vi-VN"/>
        </w:rPr>
        <w:t>Giám đốc Sở GDĐT không bắt buộc tốt nghiệp Đại học sư phạm</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Từ ngày 24/10/2019, quy định về tiêu chuẩn đối với Giám đốc Sở Giáo dục và Đào tạo thuộc UBND cấp tỉnh sẽ được áp dụng theo Thông tư </w:t>
      </w:r>
      <w:hyperlink r:id="rId9" w:history="1">
        <w:r w:rsidRPr="000E5646">
          <w:rPr>
            <w:rFonts w:asciiTheme="majorHAnsi" w:eastAsia="Times New Roman" w:hAnsiTheme="majorHAnsi" w:cstheme="majorHAnsi"/>
            <w:color w:val="A67942"/>
            <w:sz w:val="28"/>
            <w:szCs w:val="28"/>
            <w:u w:val="single"/>
            <w:lang w:eastAsia="vi-VN"/>
          </w:rPr>
          <w:t>13/2019/TT-BGDĐT</w:t>
        </w:r>
      </w:hyperlink>
      <w:r w:rsidRPr="000E5646">
        <w:rPr>
          <w:rFonts w:asciiTheme="majorHAnsi" w:eastAsia="Times New Roman" w:hAnsiTheme="majorHAnsi" w:cstheme="majorHAnsi"/>
          <w:color w:val="222222"/>
          <w:sz w:val="28"/>
          <w:szCs w:val="28"/>
          <w:lang w:eastAsia="vi-VN"/>
        </w:rPr>
        <w:t>.</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Theo đó, bên cạnh các tiêu chuẩn chung như: Nắm vững chủ trương, đường lối của Đảng, chính sách và pháp luật của Nhà nước; Có năng lực tập hợp quần chúng… người được xem xét bổ nhiệm Giám đốc Sở Giáo dục và Đào tạo còn phải đảm bảo các tiêu chuẩn riêng sau:</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lastRenderedPageBreak/>
        <w:t>- Tốt nghiệp đại học sư phạm hoặc tốt nghiệp đại học và có chứng chỉ nghiệp vụ sư phạm.</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Đã đảm nhiệm chức vụ Phó Giám đốc Sở Giáo Dục và Đào tạo hoặc chức vụ tương đương trở lên.</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Được cấp có thẩm quyền phê duyệt quy hoạch chức danh Giám đốc Sở Giáo dục và Đào tạo và chức danh tương đương.</w:t>
      </w:r>
    </w:p>
    <w:p w:rsidR="000E5646" w:rsidRPr="000E5646" w:rsidRDefault="000E5646" w:rsidP="000E5646">
      <w:pPr>
        <w:shd w:val="clear" w:color="auto" w:fill="FFFFFF"/>
        <w:spacing w:after="0" w:line="240" w:lineRule="auto"/>
        <w:jc w:val="center"/>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br/>
      </w:r>
      <w:r w:rsidRPr="000E5646">
        <w:rPr>
          <w:rFonts w:asciiTheme="majorHAnsi" w:eastAsia="Times New Roman" w:hAnsiTheme="majorHAnsi" w:cstheme="majorHAnsi"/>
          <w:b/>
          <w:bCs/>
          <w:color w:val="222222"/>
          <w:sz w:val="28"/>
          <w:szCs w:val="28"/>
          <w:lang w:eastAsia="vi-VN"/>
        </w:rPr>
        <w:t>LĨNH VỰC Y TẾ-SỨC KHỎE</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b/>
          <w:bCs/>
          <w:color w:val="222222"/>
          <w:sz w:val="28"/>
          <w:szCs w:val="28"/>
          <w:lang w:eastAsia="vi-VN"/>
        </w:rPr>
        <w:t>Điều kiện để trở thành bác sĩ gia đình từ ngày 15/10/2019</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Thông tư </w:t>
      </w:r>
      <w:hyperlink r:id="rId10" w:history="1">
        <w:r w:rsidRPr="000E5646">
          <w:rPr>
            <w:rFonts w:asciiTheme="majorHAnsi" w:eastAsia="Times New Roman" w:hAnsiTheme="majorHAnsi" w:cstheme="majorHAnsi"/>
            <w:color w:val="A67942"/>
            <w:sz w:val="28"/>
            <w:szCs w:val="28"/>
            <w:u w:val="single"/>
            <w:lang w:eastAsia="vi-VN"/>
          </w:rPr>
          <w:t>21/2019/TT-BYT</w:t>
        </w:r>
      </w:hyperlink>
      <w:r w:rsidRPr="000E5646">
        <w:rPr>
          <w:rFonts w:asciiTheme="majorHAnsi" w:eastAsia="Times New Roman" w:hAnsiTheme="majorHAnsi" w:cstheme="majorHAnsi"/>
          <w:color w:val="222222"/>
          <w:sz w:val="28"/>
          <w:szCs w:val="28"/>
          <w:lang w:eastAsia="vi-VN"/>
        </w:rPr>
        <w:t> của Bộ Y tế hướng dẫn thí điểm về hoạt động y học gia đình sẽ có hiệu lực từ ngày 15/10/2019.</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Thông tư này nêu rõ, bác sĩ đa khoa, bác sĩ chuyên khoa hệ lâm sàng đã được cấp chứng chỉ hành nghề khám bệnh, chữa bệnh sẽ được khám bệnh, chữa bệnh y học gia đình sau khi đáp ứng một trong các điều kiện sau đây:</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Có một trong các văn bằng bác sĩ nội trú, chuyên khoa I, chuyên khoa II, thạc sĩ, tiến sĩ về chuyên ngành y học gia đình.</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Có giấy chứng nhận đã được đào tạo, bồi dưỡng về y học gia đình tối thiểu 03 tháng.</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Có giấy chứng nhận theo học từng đợt học có các nội dung ghi trong giấy xác nhận hoặc tín chỉ hoặc chương trình đào tạo, bồi dưỡng về y học gia đình với tổng thời gian tối thiểu 03 tháng.</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b/>
          <w:bCs/>
          <w:color w:val="222222"/>
          <w:sz w:val="28"/>
          <w:szCs w:val="28"/>
          <w:lang w:eastAsia="vi-VN"/>
        </w:rPr>
        <w:t>Có 56 loại phụ gia phẩm màu được dùng trong thực phẩm</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Nội dung này nằm trong Thông tư số </w:t>
      </w:r>
      <w:hyperlink r:id="rId11" w:history="1">
        <w:r w:rsidRPr="000E5646">
          <w:rPr>
            <w:rFonts w:asciiTheme="majorHAnsi" w:eastAsia="Times New Roman" w:hAnsiTheme="majorHAnsi" w:cstheme="majorHAnsi"/>
            <w:color w:val="A67942"/>
            <w:sz w:val="28"/>
            <w:szCs w:val="28"/>
            <w:u w:val="single"/>
            <w:lang w:eastAsia="vi-VN"/>
          </w:rPr>
          <w:t>24/2019/TT-BYT</w:t>
        </w:r>
      </w:hyperlink>
      <w:r w:rsidRPr="000E5646">
        <w:rPr>
          <w:rFonts w:asciiTheme="majorHAnsi" w:eastAsia="Times New Roman" w:hAnsiTheme="majorHAnsi" w:cstheme="majorHAnsi"/>
          <w:color w:val="222222"/>
          <w:sz w:val="28"/>
          <w:szCs w:val="28"/>
          <w:lang w:eastAsia="vi-VN"/>
        </w:rPr>
        <w:t> của Bộ Y tế về quản lý và sử dụng phụ gia thực phẩm, áp dụng từ ngày 16/10/2019.</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Cụ thể, tại Thông tư này, Bộ Y tế công nhận 56 loại phụ gia phẩm màu được phép dùng trong thực phẩm, như: Curcumin; các bon thực vật; màu ngô tím; màu bắp cải đỏ và hàng trăm phụ gia khác là chất bảo quản, chất điều vị, chất tạo ngọt…</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Khi sử dụng phụ gia, phải đảm bảo một số nguyên tắc nhất định:</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Phụ gia thực phẩm phải là loại được phép sử dụng và đúng đối tượng thực phẩm;</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Không vượt quá mức sử dụng tối đa;</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Hạn chế đến mức thấp nhất lượng phụ gia cần thiết để đạt được hiệu quả như mong muốn…</w:t>
      </w:r>
    </w:p>
    <w:p w:rsidR="000E5646" w:rsidRPr="000E5646" w:rsidRDefault="000E5646" w:rsidP="000E5646">
      <w:pPr>
        <w:shd w:val="clear" w:color="auto" w:fill="FFFFFF"/>
        <w:spacing w:after="0" w:line="240" w:lineRule="auto"/>
        <w:jc w:val="center"/>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br/>
      </w:r>
      <w:r>
        <w:rPr>
          <w:rFonts w:asciiTheme="majorHAnsi" w:eastAsia="Times New Roman" w:hAnsiTheme="majorHAnsi" w:cstheme="majorHAnsi"/>
          <w:b/>
          <w:bCs/>
          <w:color w:val="222222"/>
          <w:sz w:val="28"/>
          <w:szCs w:val="28"/>
          <w:lang w:val="en-US" w:eastAsia="vi-VN"/>
        </w:rPr>
        <w:t xml:space="preserve">LĨNH VỰC </w:t>
      </w:r>
      <w:r w:rsidRPr="000E5646">
        <w:rPr>
          <w:rFonts w:asciiTheme="majorHAnsi" w:eastAsia="Times New Roman" w:hAnsiTheme="majorHAnsi" w:cstheme="majorHAnsi"/>
          <w:b/>
          <w:bCs/>
          <w:color w:val="222222"/>
          <w:sz w:val="28"/>
          <w:szCs w:val="28"/>
          <w:lang w:eastAsia="vi-VN"/>
        </w:rPr>
        <w:t>THƯƠNG MẠI</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b/>
          <w:bCs/>
          <w:color w:val="222222"/>
          <w:sz w:val="28"/>
          <w:szCs w:val="28"/>
          <w:lang w:eastAsia="vi-VN"/>
        </w:rPr>
        <w:t>Dịch vụ Bảo hiểm nhân thọ không phải đăng ký hợp đồng theo mẫu</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Thủ tướng Chính phủ đã ra Quyết định </w:t>
      </w:r>
      <w:hyperlink r:id="rId12" w:history="1">
        <w:r w:rsidRPr="000E5646">
          <w:rPr>
            <w:rFonts w:asciiTheme="majorHAnsi" w:eastAsia="Times New Roman" w:hAnsiTheme="majorHAnsi" w:cstheme="majorHAnsi"/>
            <w:color w:val="A67942"/>
            <w:sz w:val="28"/>
            <w:szCs w:val="28"/>
            <w:u w:val="single"/>
            <w:lang w:eastAsia="vi-VN"/>
          </w:rPr>
          <w:t>25/2019/QĐ-TTg</w:t>
        </w:r>
      </w:hyperlink>
      <w:r w:rsidRPr="000E5646">
        <w:rPr>
          <w:rFonts w:asciiTheme="majorHAnsi" w:eastAsia="Times New Roman" w:hAnsiTheme="majorHAnsi" w:cstheme="majorHAnsi"/>
          <w:color w:val="222222"/>
          <w:sz w:val="28"/>
          <w:szCs w:val="28"/>
          <w:lang w:eastAsia="vi-VN"/>
        </w:rPr>
        <w:t> về việc sửa đổi Danh mục hàng hóa, dịch vụ thiết yếu phải đăng ký hợp đồng theo mẫu, điều kiện giao dịch chung.</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Theo đó, bãi bỏ dịch vụ “Bảo hiểm nhân thọ” khỏi Danh mục nêu trên.</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Quyết định này có hiệu lực từ ngày 01/10/2019.</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b/>
          <w:bCs/>
          <w:color w:val="222222"/>
          <w:sz w:val="28"/>
          <w:szCs w:val="28"/>
          <w:lang w:eastAsia="vi-VN"/>
        </w:rPr>
        <w:t>Bán thuốc diệt côn trùng chung với thực phẩm bị phạt đến 3 triệu</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Từ ngày 15/10/2019, Nghị định </w:t>
      </w:r>
      <w:hyperlink r:id="rId13" w:history="1">
        <w:r w:rsidRPr="000E5646">
          <w:rPr>
            <w:rFonts w:asciiTheme="majorHAnsi" w:eastAsia="Times New Roman" w:hAnsiTheme="majorHAnsi" w:cstheme="majorHAnsi"/>
            <w:color w:val="A67942"/>
            <w:sz w:val="28"/>
            <w:szCs w:val="28"/>
            <w:u w:val="single"/>
            <w:lang w:eastAsia="vi-VN"/>
          </w:rPr>
          <w:t>71/2019/NĐ-CP</w:t>
        </w:r>
      </w:hyperlink>
      <w:r w:rsidRPr="000E5646">
        <w:rPr>
          <w:rFonts w:asciiTheme="majorHAnsi" w:eastAsia="Times New Roman" w:hAnsiTheme="majorHAnsi" w:cstheme="majorHAnsi"/>
          <w:color w:val="222222"/>
          <w:sz w:val="28"/>
          <w:szCs w:val="28"/>
          <w:lang w:eastAsia="vi-VN"/>
        </w:rPr>
        <w:t> về xử phạt vi phạm hành chính trong lĩnh vực hóa chất và vật liệu nổ công nghiệp sẽ có hiệu lực.</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lastRenderedPageBreak/>
        <w:t>Theo đó, sẽ phạt tiền từ 01 - 03 triệu đồng nếu có các hành vi vi phạm trong hoạt động mua bán chế phẩm côn trùng, diệt khuẩn như sau:</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Bày bán chế phẩm diệt côn trùng, diệt khuẩn không tách biệt với nơi bày bán các loại thực phẩm;</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Điều kiện bảo quản chế phẩm không đáp ứng yêu cầu bảo quản ghi trên nhãn chế phẩm diệt côn trùng, diệt khuẩn;</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 Không cung cấp đầy đủ thông tin hoặc cung cấp sai về các đặc tính nguy hiểm của hóa chất, chế phẩm diệt côn trùng, diệt khuẩn, gây hại cho sức khỏe…</w:t>
      </w:r>
    </w:p>
    <w:p w:rsidR="000E5646" w:rsidRPr="000E5646" w:rsidRDefault="000E5646" w:rsidP="000E5646">
      <w:pPr>
        <w:shd w:val="clear" w:color="auto" w:fill="FFFFFF"/>
        <w:spacing w:after="0" w:line="240" w:lineRule="auto"/>
        <w:jc w:val="both"/>
        <w:rPr>
          <w:rFonts w:asciiTheme="majorHAnsi" w:eastAsia="Times New Roman" w:hAnsiTheme="majorHAnsi" w:cstheme="majorHAnsi"/>
          <w:color w:val="222222"/>
          <w:sz w:val="28"/>
          <w:szCs w:val="28"/>
          <w:lang w:eastAsia="vi-VN"/>
        </w:rPr>
      </w:pPr>
      <w:r w:rsidRPr="000E5646">
        <w:rPr>
          <w:rFonts w:asciiTheme="majorHAnsi" w:eastAsia="Times New Roman" w:hAnsiTheme="majorHAnsi" w:cstheme="majorHAnsi"/>
          <w:color w:val="222222"/>
          <w:sz w:val="28"/>
          <w:szCs w:val="28"/>
          <w:lang w:eastAsia="vi-VN"/>
        </w:rPr>
        <w:t>Ngoài bị phạt tiền, người nào vi phạm còn có thể bị đình chỉ hoạt động mua bán chế phẩm diệt côn trùng, diệt khuẩn dùng trong lĩnh vực gia dụng và y tế từ 01 - 03 tháng.</w:t>
      </w:r>
    </w:p>
    <w:p w:rsidR="0093181C" w:rsidRPr="000E5646" w:rsidRDefault="0093181C" w:rsidP="000E5646">
      <w:pPr>
        <w:jc w:val="both"/>
        <w:rPr>
          <w:rFonts w:asciiTheme="majorHAnsi" w:hAnsiTheme="majorHAnsi" w:cstheme="majorHAnsi"/>
          <w:sz w:val="28"/>
          <w:szCs w:val="28"/>
        </w:rPr>
      </w:pPr>
    </w:p>
    <w:sectPr w:rsidR="0093181C" w:rsidRPr="000E5646" w:rsidSect="000E5646">
      <w:pgSz w:w="11906" w:h="16838"/>
      <w:pgMar w:top="1440"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E5646"/>
    <w:rsid w:val="000E5646"/>
    <w:rsid w:val="0093181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64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0E5646"/>
    <w:rPr>
      <w:i/>
      <w:iCs/>
    </w:rPr>
  </w:style>
  <w:style w:type="character" w:styleId="Strong">
    <w:name w:val="Strong"/>
    <w:basedOn w:val="DefaultParagraphFont"/>
    <w:uiPriority w:val="22"/>
    <w:qFormat/>
    <w:rsid w:val="000E5646"/>
    <w:rPr>
      <w:b/>
      <w:bCs/>
    </w:rPr>
  </w:style>
  <w:style w:type="character" w:styleId="Hyperlink">
    <w:name w:val="Hyperlink"/>
    <w:basedOn w:val="DefaultParagraphFont"/>
    <w:uiPriority w:val="99"/>
    <w:semiHidden/>
    <w:unhideWhenUsed/>
    <w:rsid w:val="000E5646"/>
    <w:rPr>
      <w:color w:val="0000FF"/>
      <w:u w:val="single"/>
    </w:rPr>
  </w:style>
</w:styles>
</file>

<file path=word/webSettings.xml><?xml version="1.0" encoding="utf-8"?>
<w:webSettings xmlns:r="http://schemas.openxmlformats.org/officeDocument/2006/relationships" xmlns:w="http://schemas.openxmlformats.org/wordprocessingml/2006/main">
  <w:divs>
    <w:div w:id="21298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duc/thong-tu-12-2019-tt-bgddt-chuong-trinh-boi-duong-thuong-xuyen-giao-vien-mam-non-176732-d1.html" TargetMode="External"/><Relationship Id="rId13" Type="http://schemas.openxmlformats.org/officeDocument/2006/relationships/hyperlink" Target="https://luatvietnam.vn/vi-pham-hanh-chinh/nghi-dinh-71-2019-nd-cp-xu-phat-vi-pham-hanh-chinh-linh-vuc-hoa-chat-176451-d1.html" TargetMode="External"/><Relationship Id="rId3" Type="http://schemas.openxmlformats.org/officeDocument/2006/relationships/webSettings" Target="webSettings.xml"/><Relationship Id="rId7" Type="http://schemas.openxmlformats.org/officeDocument/2006/relationships/hyperlink" Target="https://luatvietnam.vn/thue/thong-tu-59-2019-tt-btc-quy-dinh-le-phi-cap-can-cuoc-cong-dan-176606-d1.html" TargetMode="External"/><Relationship Id="rId12" Type="http://schemas.openxmlformats.org/officeDocument/2006/relationships/hyperlink" Target="https://luatvietnam.vn/thuong-mai/quyet-dinh-25-2019-qd-ttg-sua-doi-danh-muc-hang-hoa-phai-dang-ky-hop-dong-theo-mau-176054-d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lao-dong/quyet-dinh-27-2019-qd-ttg-tin-dung-voi-nguoi-tai-huyen-ngheo-di-lam-viec-o-nuoc-ngoai-176674-d1.html" TargetMode="External"/><Relationship Id="rId11" Type="http://schemas.openxmlformats.org/officeDocument/2006/relationships/hyperlink" Target="https://luatvietnam.vn/thuc-pham/thong-tu-24-2019-tt-byt-quan-ly-va-su-dung-phu-gia-thuc-pham-176882-d1.html" TargetMode="External"/><Relationship Id="rId5" Type="http://schemas.openxmlformats.org/officeDocument/2006/relationships/hyperlink" Target="https://luatvietnam.vn/an-ninh-quoc-gia/nghi-dinh-70-2019-nd-cp-ve-thuc-hien-nghia-vu-cong-an-176306-d1.html" TargetMode="External"/><Relationship Id="rId15" Type="http://schemas.openxmlformats.org/officeDocument/2006/relationships/theme" Target="theme/theme1.xml"/><Relationship Id="rId10" Type="http://schemas.openxmlformats.org/officeDocument/2006/relationships/hyperlink" Target="https://luatvietnam.vn/y-te/thong-tu-21-2019-tt-byt-huong-dan-thi-diem-ve-hoat-dong-y-hoc-gia-dinh-176375-d1.html" TargetMode="External"/><Relationship Id="rId4" Type="http://schemas.openxmlformats.org/officeDocument/2006/relationships/hyperlink" Target="https://luatvietnam.vn/giao-thong/thong-tu-31-2019-tt-bgtvt-toc-do-va-khoang-cach-an-toan-cua-xe-co-gioi-khi-tham-gia-giao-thong-176529-d1.html" TargetMode="External"/><Relationship Id="rId9" Type="http://schemas.openxmlformats.org/officeDocument/2006/relationships/hyperlink" Target="https://luatvietnam.vn/co-cau-to-chuc/thong-tu-13-2019-tt-bgddt-tieu-chuan-giam-doc-pho-giam-doc-so-giao-duc-va-dao-tao-176686-d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2019-11-14T08:43:00Z</dcterms:created>
  <dcterms:modified xsi:type="dcterms:W3CDTF">2019-11-14T08:47:00Z</dcterms:modified>
</cp:coreProperties>
</file>