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434" w:rsidRPr="00834434" w:rsidRDefault="00834434" w:rsidP="00834434">
      <w:pPr>
        <w:shd w:val="clear" w:color="auto" w:fill="FFFFFF"/>
        <w:spacing w:before="150" w:after="150" w:line="450" w:lineRule="atLeast"/>
        <w:jc w:val="center"/>
        <w:outlineLvl w:val="0"/>
        <w:rPr>
          <w:rFonts w:asciiTheme="majorHAnsi" w:eastAsia="Times New Roman" w:hAnsiTheme="majorHAnsi" w:cstheme="majorHAnsi"/>
          <w:b/>
          <w:color w:val="222222"/>
          <w:kern w:val="36"/>
          <w:sz w:val="28"/>
          <w:szCs w:val="28"/>
          <w:lang w:val="en-US" w:eastAsia="vi-VN"/>
        </w:rPr>
      </w:pPr>
      <w:r w:rsidRPr="00834434">
        <w:rPr>
          <w:rFonts w:asciiTheme="majorHAnsi" w:eastAsia="Times New Roman" w:hAnsiTheme="majorHAnsi" w:cstheme="majorHAnsi"/>
          <w:b/>
          <w:color w:val="222222"/>
          <w:kern w:val="36"/>
          <w:sz w:val="28"/>
          <w:szCs w:val="28"/>
          <w:lang w:val="en-US" w:eastAsia="vi-VN"/>
        </w:rPr>
        <w:t>ĐỀ CƯƠNG TUYÊN TRUYỀN PHÁP LUẬT</w:t>
      </w:r>
    </w:p>
    <w:p w:rsidR="00834434" w:rsidRPr="00834434" w:rsidRDefault="00834434" w:rsidP="00834434">
      <w:pPr>
        <w:shd w:val="clear" w:color="auto" w:fill="FFFFFF"/>
        <w:spacing w:before="150" w:after="150" w:line="450" w:lineRule="atLeast"/>
        <w:jc w:val="center"/>
        <w:outlineLvl w:val="0"/>
        <w:rPr>
          <w:rFonts w:asciiTheme="majorHAnsi" w:eastAsia="Times New Roman" w:hAnsiTheme="majorHAnsi" w:cstheme="majorHAnsi"/>
          <w:b/>
          <w:color w:val="222222"/>
          <w:kern w:val="36"/>
          <w:sz w:val="28"/>
          <w:szCs w:val="28"/>
          <w:lang w:eastAsia="vi-VN"/>
        </w:rPr>
      </w:pPr>
      <w:r w:rsidRPr="00834434">
        <w:rPr>
          <w:rFonts w:asciiTheme="majorHAnsi" w:eastAsia="Times New Roman" w:hAnsiTheme="majorHAnsi" w:cstheme="majorHAnsi"/>
          <w:b/>
          <w:color w:val="222222"/>
          <w:kern w:val="36"/>
          <w:sz w:val="28"/>
          <w:szCs w:val="28"/>
          <w:lang w:val="en-US" w:eastAsia="vi-VN"/>
        </w:rPr>
        <w:t xml:space="preserve">Các </w:t>
      </w:r>
      <w:r w:rsidRPr="00834434">
        <w:rPr>
          <w:rFonts w:asciiTheme="majorHAnsi" w:eastAsia="Times New Roman" w:hAnsiTheme="majorHAnsi" w:cstheme="majorHAnsi"/>
          <w:b/>
          <w:color w:val="222222"/>
          <w:kern w:val="36"/>
          <w:sz w:val="28"/>
          <w:szCs w:val="28"/>
          <w:lang w:eastAsia="vi-VN"/>
        </w:rPr>
        <w:t>chính sách mới có hiệu lực tháng 11/2019</w:t>
      </w:r>
    </w:p>
    <w:p w:rsidR="00834434" w:rsidRPr="00834434" w:rsidRDefault="00834434" w:rsidP="00834434">
      <w:pPr>
        <w:shd w:val="clear" w:color="auto" w:fill="FFFFFF"/>
        <w:spacing w:after="0" w:line="375" w:lineRule="atLeast"/>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b/>
          <w:bCs/>
          <w:color w:val="222222"/>
          <w:sz w:val="28"/>
          <w:szCs w:val="28"/>
          <w:lang w:val="en-US" w:eastAsia="vi-VN"/>
        </w:rPr>
        <w:t xml:space="preserve">LĨNH VỰC </w:t>
      </w:r>
      <w:r w:rsidRPr="00834434">
        <w:rPr>
          <w:rFonts w:asciiTheme="majorHAnsi" w:eastAsia="Times New Roman" w:hAnsiTheme="majorHAnsi" w:cstheme="majorHAnsi"/>
          <w:b/>
          <w:bCs/>
          <w:color w:val="222222"/>
          <w:sz w:val="28"/>
          <w:szCs w:val="28"/>
          <w:lang w:eastAsia="vi-VN"/>
        </w:rPr>
        <w:t>THƯƠNG MẠI</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Chính thức mở đường cho dịch vụ phụ trợ bảo hiểm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Ngày 01/11/2019 đánh dấu sự kiện </w:t>
      </w:r>
      <w:hyperlink r:id="rId4" w:history="1">
        <w:r w:rsidRPr="00834434">
          <w:rPr>
            <w:rFonts w:asciiTheme="majorHAnsi" w:eastAsia="Times New Roman" w:hAnsiTheme="majorHAnsi" w:cstheme="majorHAnsi"/>
            <w:color w:val="A67942"/>
            <w:sz w:val="28"/>
            <w:szCs w:val="28"/>
            <w:u w:val="single"/>
            <w:lang w:eastAsia="vi-VN"/>
          </w:rPr>
          <w:t>Luật sửa đổi, bổ sung Luật Kinh doanh bảo hiểm và Luật Sở hữu trí tuệ</w:t>
        </w:r>
      </w:hyperlink>
      <w:r w:rsidRPr="00834434">
        <w:rPr>
          <w:rFonts w:asciiTheme="majorHAnsi" w:eastAsia="Times New Roman" w:hAnsiTheme="majorHAnsi" w:cstheme="majorHAnsi"/>
          <w:color w:val="222222"/>
          <w:sz w:val="28"/>
          <w:szCs w:val="28"/>
          <w:lang w:eastAsia="vi-VN"/>
        </w:rPr>
        <w:t> có hiệu lực.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Về việc sửa đổi Luật Kinh doanh bảo hiểm, Luật chính thức mở đường cho dịch vụ phụ trợ bảo hiểm, bao gồm: Tư vấn bảo hiểm; đánh giá rủi ro bảo hiểm; tính toán bảo hiểm; giám định tổn thất; hỗ trợ giải quyết bồi thường bảo hiểm…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Trong đó, cá nhân chỉ được quyền cung cấp dịch vụ tư vấn bảo hiểm; Doanh nghiệp bảo hiểm, doanh nghiệp môi giới bảo hiểm và tổ chức khác có tư cách pháp nhân được quyền cung cấp tất cả dịch vụ phụ trợ bảo hiểm.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Về việc sửa đổi Luật Sở hữu trí tuệ, Luật bổ sung thêm quy định việc sử dụng nhãn hiệu bởi bên nhận chuyển quyền theo hợp đồng sử dụng nhãn hiệu cũng được coi là hành vi sử dụng nhãn hiệu của chủ sở hữu nhãn hiệu.</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Theo quy định hiện hành, chủ sở hữu nhãn hiệu phải sử dụng liên tục nhãn hiệu; không sử dụng liên tục từ 5 năm trở lên thì Giấy chứng nhận đăng ký nhãn hiệu bị chấm dứt hiệu lực.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Cấm Quản lý thị trường mua hàng hóa của đơn vị đang bị kiểm tra</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Một loạt những việc không được làm trong hoạt động công vụ của lực lượng Quản lý thị trường đã được Bộ Công Thương liệt kê tại Thông tư </w:t>
      </w:r>
      <w:hyperlink r:id="rId5" w:history="1">
        <w:r w:rsidRPr="00834434">
          <w:rPr>
            <w:rFonts w:asciiTheme="majorHAnsi" w:eastAsia="Times New Roman" w:hAnsiTheme="majorHAnsi" w:cstheme="majorHAnsi"/>
            <w:color w:val="A67942"/>
            <w:sz w:val="28"/>
            <w:szCs w:val="28"/>
            <w:u w:val="single"/>
            <w:lang w:eastAsia="vi-VN"/>
          </w:rPr>
          <w:t>18/2019/TT-BCT</w:t>
        </w:r>
      </w:hyperlink>
      <w:r w:rsidRPr="00834434">
        <w:rPr>
          <w:rFonts w:asciiTheme="majorHAnsi" w:eastAsia="Times New Roman" w:hAnsiTheme="majorHAnsi" w:cstheme="majorHAnsi"/>
          <w:color w:val="222222"/>
          <w:sz w:val="28"/>
          <w:szCs w:val="28"/>
          <w:lang w:eastAsia="vi-VN"/>
        </w:rPr>
        <w:t>, có hiệu lực từ ngày 15/11/2019.</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Nổi bật là:</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Không được gợi ý, đòi hỏi các lợi ích vật chất, phi vật chất hoặc cố ý vay mượn tiền bạc, mua hàng của tổ chức, cá nhân đang trong quá trình thanh tra chuyên ngành, kiểm tra và xử lý vi phạm hành chính;</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Cố tình phát ngôn hoặc cung cấp cho báo chí, đăng tải trên mạng xã hội những thông tin sai sự thật nhằm xuyên tạc, bôi nhọ về bản chất, hình ảnh hoạt động công vụ của lực lượng Quản lý thị trường;</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Phát ngôn hoặc cung cấp cho báo chí những thông tin làm ảnh hưởng đến hoạt động kinh doanh hợp pháp của tổ chức, cá nhân khi vụ việc đang xử lý và chưa có kết luận vi phạm;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Lợi dụng hoạt động công vụ bao che, dung túng hoặc thông đồng với tổ chức, cá nhân có vi phạm hành chính để làm trái các quy định của pháp luật, nhằm mục đích tham ô, nhận hối lộ dưới mọi hình thức…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b/>
          <w:bCs/>
          <w:color w:val="222222"/>
          <w:sz w:val="28"/>
          <w:szCs w:val="28"/>
          <w:lang w:val="en-US" w:eastAsia="vi-VN"/>
        </w:rPr>
        <w:lastRenderedPageBreak/>
        <w:t xml:space="preserve">LĨNH VỰC </w:t>
      </w:r>
      <w:r w:rsidRPr="00834434">
        <w:rPr>
          <w:rFonts w:asciiTheme="majorHAnsi" w:eastAsia="Times New Roman" w:hAnsiTheme="majorHAnsi" w:cstheme="majorHAnsi"/>
          <w:b/>
          <w:bCs/>
          <w:color w:val="222222"/>
          <w:sz w:val="28"/>
          <w:szCs w:val="28"/>
          <w:lang w:eastAsia="vi-VN"/>
        </w:rPr>
        <w:t>HÌNH SỰ</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Hôn người dưới 16 tuổi có thể bị coi là Dâm ô trẻ em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Từ ngày 5/11/2019, Nghị quyết </w:t>
      </w:r>
      <w:hyperlink r:id="rId6" w:history="1">
        <w:r w:rsidRPr="00834434">
          <w:rPr>
            <w:rFonts w:asciiTheme="majorHAnsi" w:eastAsia="Times New Roman" w:hAnsiTheme="majorHAnsi" w:cstheme="majorHAnsi"/>
            <w:color w:val="A67942"/>
            <w:sz w:val="28"/>
            <w:szCs w:val="28"/>
            <w:u w:val="single"/>
            <w:lang w:eastAsia="vi-VN"/>
          </w:rPr>
          <w:t>06/2019/NQ-HĐTP</w:t>
        </w:r>
      </w:hyperlink>
      <w:r w:rsidRPr="00834434">
        <w:rPr>
          <w:rFonts w:asciiTheme="majorHAnsi" w:eastAsia="Times New Roman" w:hAnsiTheme="majorHAnsi" w:cstheme="majorHAnsi"/>
          <w:color w:val="222222"/>
          <w:sz w:val="28"/>
          <w:szCs w:val="28"/>
          <w:lang w:eastAsia="vi-VN"/>
        </w:rPr>
        <w:t> của Hội đồng Thẩm phán Tòa án nhân dân tối cao hướng dẫn xét xử các vụ án xâm hại tình dục người dưới 18 tuổi có hiệu lực.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Nghị quyết này định nghĩa cụ thể về các hành vi dâm ô trẻ em. Theo đó, dâm ô là hành vi của người cùng giới tính hoặc khác giới tính tiếp xúc về thể chất trực tiếp hoặc gián tiếp qua lớp quần áo vào bộ phận của người dưới 16 tuổi, có tính chất tình dục nhưng không nhằm quan hệ tình dục như: Hôn người dưới 16 tuổi…</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Cũng theo Nghị quyết, khi xét xử vụ án xâm hại tình dục người dưới 18 tuổi, Tòa án không được yêu cầu bị hại là người dưới 18 tuổi tường thuật lại chi tiết quá trình phạm tội; Không đối chất giữa bị hại với người phạm tội tại phiên tòa; Không buộc bị hại phải tham gia phiên tòa… </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LĨNH VỰC NÔNG NGHIỆP-LÂM NGHIỆP</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Công bố Danh mục thuốc bảo vệ thực vật bị cấm sử dụng tại Việt Nam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Ngày 5/11/2019, Thông tư </w:t>
      </w:r>
      <w:hyperlink r:id="rId7" w:history="1">
        <w:r w:rsidRPr="00834434">
          <w:rPr>
            <w:rFonts w:asciiTheme="majorHAnsi" w:eastAsia="Times New Roman" w:hAnsiTheme="majorHAnsi" w:cstheme="majorHAnsi"/>
            <w:color w:val="A67942"/>
            <w:sz w:val="28"/>
            <w:szCs w:val="28"/>
            <w:u w:val="single"/>
            <w:lang w:eastAsia="vi-VN"/>
          </w:rPr>
          <w:t>10/2019/TT-BNNPTNT</w:t>
        </w:r>
      </w:hyperlink>
      <w:r w:rsidRPr="00834434">
        <w:rPr>
          <w:rFonts w:asciiTheme="majorHAnsi" w:eastAsia="Times New Roman" w:hAnsiTheme="majorHAnsi" w:cstheme="majorHAnsi"/>
          <w:color w:val="222222"/>
          <w:sz w:val="28"/>
          <w:szCs w:val="28"/>
          <w:lang w:eastAsia="vi-VN"/>
        </w:rPr>
        <w:t> của Bộ Nông nghiệp và Phát triển nông thôn cũng chính thức có hiệu lực.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Ngoài việc công bố 4021 loại thuốc bảo vệ thực vật được phép sử dụng tại Việt Nam thì đáng lưu ý hơn, Thông tư này cũng công bố Danh mục 31 loại thuốc bảo vệ thực vật bị cấm tuyệt đối sử dụng, trong đó có: Các loại thuốc bảo vệ thực vật có chứa Chlordimeform; thuốc bảo vệ thực vật có chứa Isobenzen; thuốc bảo vệ thực vật có chứa Isodrin…</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Đồng thời, Thông tư này cũng chỉ rõ, các thuốc bảo vệ thực vật chứa hoạt chất Chlorpyrifos ethyl và Fipronil chỉ được sản xuất, nhập khẩu đến ngày 12/2/2020; chỉ được buôn bán, sử dụng đến ngày 12/02/2021.</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LĨNH VỰC KẾ TOÁN-KIỂM TOÁN</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Hướng dẫn mới của Bộ Tài chính về hóa đơn điện tử</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Một trong những văn bản quan trọng nhất sẽ có hiệu lực trong tháng 11/2019 chính là Thông tư </w:t>
      </w:r>
      <w:hyperlink r:id="rId8" w:history="1">
        <w:r w:rsidRPr="00834434">
          <w:rPr>
            <w:rFonts w:asciiTheme="majorHAnsi" w:eastAsia="Times New Roman" w:hAnsiTheme="majorHAnsi" w:cstheme="majorHAnsi"/>
            <w:color w:val="A67942"/>
            <w:sz w:val="28"/>
            <w:szCs w:val="28"/>
            <w:u w:val="single"/>
            <w:lang w:eastAsia="vi-VN"/>
          </w:rPr>
          <w:t>68/2019/TT-BTC</w:t>
        </w:r>
      </w:hyperlink>
      <w:r w:rsidRPr="00834434">
        <w:rPr>
          <w:rFonts w:asciiTheme="majorHAnsi" w:eastAsia="Times New Roman" w:hAnsiTheme="majorHAnsi" w:cstheme="majorHAnsi"/>
          <w:color w:val="222222"/>
          <w:sz w:val="28"/>
          <w:szCs w:val="28"/>
          <w:lang w:eastAsia="vi-VN"/>
        </w:rPr>
        <w:t> của Bộ Tài chính hướng dẫn về hóa đơn điện tử. Thông tư 68 có hiệu lực từ ngày 14/11/2019.</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Theo Thông tư này, từ ngày 01/11/2020, các doanh nghiệp, tổ chức kinh tế, tổ chức khác, hộ, cá nhân kinh doanh phải đăng ký áp dụng hóa đơn điện tử.</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Thông tư này quy định cụ thể về các nội dung có trên hóa đơn điện tử nhưng trong một số trường hợp nhất định, trên hóa đơn điện tử không nhất thiết phải có đầy đủ các nội dung.</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lastRenderedPageBreak/>
        <w:t>Ví dụ, không nhất thiết phải chữ ký điện tử của người mua; Đối với hóa đơn điện tử bán hàng tại siêu thị, trung tâm thương mại mà người mua là cá nhân không kinh doanh thì không nhất thiết phải có tên, địa chỉ, mã số thuế người mua…</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Thông tư này cũng cho phép doanh nghiệp, tổ chức, hộ, cá nhân kinh doanh có thể tạo thêm thông tin về biểu trưng hay logo để thể hiện nhãn hiệu, thương hiệu hay hình ảnh đại diện của người bán trên hóa đơn điện tử.</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LĨNH VỰC CÁN BỘ-CÔNG CHỨC-VIÊN CHỨC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Hàng loạt văn bản về cán bộ, công chức bị bãi bỏ</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Từ ngày 15/11/2019, Thông tư </w:t>
      </w:r>
      <w:hyperlink r:id="rId9" w:history="1">
        <w:r w:rsidRPr="00834434">
          <w:rPr>
            <w:rFonts w:asciiTheme="majorHAnsi" w:eastAsia="Times New Roman" w:hAnsiTheme="majorHAnsi" w:cstheme="majorHAnsi"/>
            <w:color w:val="A67942"/>
            <w:sz w:val="28"/>
            <w:szCs w:val="28"/>
            <w:u w:val="single"/>
            <w:lang w:eastAsia="vi-VN"/>
          </w:rPr>
          <w:t>11/2019/TT-BNV</w:t>
        </w:r>
      </w:hyperlink>
      <w:r w:rsidRPr="00834434">
        <w:rPr>
          <w:rFonts w:asciiTheme="majorHAnsi" w:eastAsia="Times New Roman" w:hAnsiTheme="majorHAnsi" w:cstheme="majorHAnsi"/>
          <w:color w:val="222222"/>
          <w:sz w:val="28"/>
          <w:szCs w:val="28"/>
          <w:lang w:eastAsia="vi-VN"/>
        </w:rPr>
        <w:t> của Bộ Nội vụ sẽ có hiệu lực. Kể từ ngày này, hàng loạt văn bản liên quan đến cán bộ, công chức chính thức bị bãi bỏ. Trong đó phải kể đến một số văn bản như:</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Thông tư số 05 năm 2006 của Bộ Nội vụ hướng dẫn thực hiện Nghị định 159 năm 2005 về phân loại đơn vị hành chính xã, phường, thị trấn;</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Thông tư số 07 năm 2006 của Bộ Nội vụ hướng dẫn xây dựng và thực hiện chỉ tiêu đào tạo, bồi dưỡng cán bộ, công chức;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Thông tư số 05 năm 2007 của Bộ Nội vụ hướng dẫn thực hiện một số điều của Nghị định 15 năm 2007 về phân loại đơn vị hành chính cấp tỉnh và cấp huyện;</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Quyết định số 135 năm 2005 của Bộ Nội vụ ban hành quy chế bồi dưỡng Trưởng thôn, Tổ trưởng tổ dân phố;</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Quyết định số 04 năm 2008 của Bộ Nội vụ ban hành tiêu chuẩn nghiệp vụ các ngạch công chức ngành thanh tra…</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Pr>
          <w:rFonts w:asciiTheme="majorHAnsi" w:eastAsia="Times New Roman" w:hAnsiTheme="majorHAnsi" w:cstheme="majorHAnsi"/>
          <w:b/>
          <w:bCs/>
          <w:color w:val="222222"/>
          <w:sz w:val="28"/>
          <w:szCs w:val="28"/>
          <w:lang w:val="en-US" w:eastAsia="vi-VN"/>
        </w:rPr>
        <w:t xml:space="preserve">LĨNH VỰC </w:t>
      </w:r>
      <w:r w:rsidRPr="00834434">
        <w:rPr>
          <w:rFonts w:asciiTheme="majorHAnsi" w:eastAsia="Times New Roman" w:hAnsiTheme="majorHAnsi" w:cstheme="majorHAnsi"/>
          <w:b/>
          <w:bCs/>
          <w:color w:val="222222"/>
          <w:sz w:val="28"/>
          <w:szCs w:val="28"/>
          <w:lang w:eastAsia="vi-VN"/>
        </w:rPr>
        <w:t>CHÍNH SÁCH</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Quỹ quốc gia về việc làm cho người lao động vay đến 100 triệu đồng</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Ngày 8/11/2019, Nghị định </w:t>
      </w:r>
      <w:hyperlink r:id="rId10" w:history="1">
        <w:r w:rsidRPr="00834434">
          <w:rPr>
            <w:rFonts w:asciiTheme="majorHAnsi" w:eastAsia="Times New Roman" w:hAnsiTheme="majorHAnsi" w:cstheme="majorHAnsi"/>
            <w:color w:val="A67942"/>
            <w:sz w:val="28"/>
            <w:szCs w:val="28"/>
            <w:u w:val="single"/>
            <w:lang w:eastAsia="vi-VN"/>
          </w:rPr>
          <w:t>74/2019/NĐ-CP</w:t>
        </w:r>
      </w:hyperlink>
      <w:r w:rsidRPr="00834434">
        <w:rPr>
          <w:rFonts w:asciiTheme="majorHAnsi" w:eastAsia="Times New Roman" w:hAnsiTheme="majorHAnsi" w:cstheme="majorHAnsi"/>
          <w:color w:val="222222"/>
          <w:sz w:val="28"/>
          <w:szCs w:val="28"/>
          <w:lang w:eastAsia="vi-VN"/>
        </w:rPr>
        <w:t> sửa Nghị định 61/2015/NĐ-CP về chính sách hỗ trợ tạo việc làm và Quỹ quốc gia về việc làm sẽ chính thức có hiệu lực.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Nghị định mới đã tăng gấp đôi hạn mức cho vay của Quỹ quốc gia về việc làm đối với các cơ sở sản xuất, kinh doanh và người lao động. Cụ thể:</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Đối với cơ sở sản xuất, kinh doanh, mức vay tối đa là 02 tỷ đồng/dự án và không quá 100 triệu đồng cho 01 người lao động được tạo việc làm, duy trì và mở rộng việc làm.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Đối với người lao động, mức vay tối đa là 100 triệu đồng.</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Đồng thời, Nghị định này cũng nới thời hạn vay vốn lên đến 120 tháng, trong khi trước đây chỉ là 60 tháng.</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Chỉ với những khoản vay từ 100 triệu đồng trở lên, các cơ sở sản xuất, kinh doanh mới phải có tài sản đảm bảo tiền vay (trước đây là 50 triệu đồng).</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Từ 25/11/2019, tổ chức có thể là thành viên của tổ hợp tác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lastRenderedPageBreak/>
        <w:t>Nếu như trước đây, theo Nghị định 151/2007/NĐ-CP, thành viên tổ hợp tác chỉ có thể là cá nhân thì từ 25/11/2019, theo Nghị định </w:t>
      </w:r>
      <w:hyperlink r:id="rId11" w:anchor="noidung" w:history="1">
        <w:r w:rsidRPr="00834434">
          <w:rPr>
            <w:rFonts w:asciiTheme="majorHAnsi" w:eastAsia="Times New Roman" w:hAnsiTheme="majorHAnsi" w:cstheme="majorHAnsi"/>
            <w:color w:val="A67942"/>
            <w:sz w:val="28"/>
            <w:szCs w:val="28"/>
            <w:u w:val="single"/>
            <w:lang w:eastAsia="vi-VN"/>
          </w:rPr>
          <w:t>77/2019/NĐ-CP</w:t>
        </w:r>
      </w:hyperlink>
      <w:r w:rsidRPr="00834434">
        <w:rPr>
          <w:rFonts w:asciiTheme="majorHAnsi" w:eastAsia="Times New Roman" w:hAnsiTheme="majorHAnsi" w:cstheme="majorHAnsi"/>
          <w:color w:val="222222"/>
          <w:sz w:val="28"/>
          <w:szCs w:val="28"/>
          <w:lang w:eastAsia="vi-VN"/>
        </w:rPr>
        <w:t>, thành viên tổ hợp tác còn có thể là tổ chức.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Theo đó, tổ hợp tác là tổ chức không có tư cách pháp nhân, được hình thành trên cơ sở hợp đồng hợp tác, gồm từ 02 cá nhân, pháp nhân trở lên tự nguyện thành lập, cùng đóng góp tài sản, công sức để thực hiện những công việc nhất định, cùng hưởng lợi và cùng chịu trách nhiệm.</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Tổ hợp tác hoạt động trên cơ sở hợp đồng hợp tác. Trong đó, hợp đồng hợp tác do các thành viên tổ hợp tác tự thỏa thuận; được lập thành văn bản, có chữ  ký của 100% các thành viên trong tổ hợp tác.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Cá nhân, pháp nhân tự nguyện thành lập, gia nhập và rút khỏi tổ hợp tác khi có lý do chính đáng và được sự đồng ý của hơn 50% tổng số thành viên hoặc theo điều kiện đã thỏa thuận trong hợp đồng hợp tác.</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LĨNH VỰC THUẾ-PHÍ-LỆ PHÍ</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b/>
          <w:bCs/>
          <w:color w:val="222222"/>
          <w:sz w:val="28"/>
          <w:szCs w:val="28"/>
          <w:lang w:eastAsia="vi-VN"/>
        </w:rPr>
        <w:t>Quy định mới về thời điểm xác nhận hồ sơ nộp thuế điện tử</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Đây là nội dung được Bộ Tài chính quy định tại Thông tư </w:t>
      </w:r>
      <w:hyperlink r:id="rId12" w:history="1">
        <w:r w:rsidRPr="00834434">
          <w:rPr>
            <w:rFonts w:asciiTheme="majorHAnsi" w:eastAsia="Times New Roman" w:hAnsiTheme="majorHAnsi" w:cstheme="majorHAnsi"/>
            <w:color w:val="A67942"/>
            <w:sz w:val="28"/>
            <w:szCs w:val="28"/>
            <w:u w:val="single"/>
            <w:lang w:eastAsia="vi-VN"/>
          </w:rPr>
          <w:t>66/2019/TT-BTC</w:t>
        </w:r>
      </w:hyperlink>
      <w:r w:rsidRPr="00834434">
        <w:rPr>
          <w:rFonts w:asciiTheme="majorHAnsi" w:eastAsia="Times New Roman" w:hAnsiTheme="majorHAnsi" w:cstheme="majorHAnsi"/>
          <w:color w:val="222222"/>
          <w:sz w:val="28"/>
          <w:szCs w:val="28"/>
          <w:lang w:eastAsia="vi-VN"/>
        </w:rPr>
        <w:t> sửa đổi Thông tư 110/2015/TT-BTC về giao dịch điện tử trong lĩnh vực thuế.</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Theo Thông tư mới, thời điểm xác nhận hồ sơ nộp thuế điện tử được quy định như sau:</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Đối với hồ sơ đăng ký thuế điện tử: là ngày ghi trên Thông báo tiếp nhận hồ sơ đăng ký thuế điện tử của cơ quan thuế gửi cho người nộp thuế qua Cổng thông tin điện tử của Tổng cục Thuế hoặc qua tổ chức cung cấp dịch vụ T-VAN;</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Đối với hồ sơ khai thuế điện tử: là ngày ghi trên Thông báo chấp nhận hồ sơ khai thuế điện tử của cơ quan thuế gửi cho người nộp thuế qua Cổng thông tin điện tử của Tổng cục Thuế hoặc qua tổ chức cung cấp dịch vụ T-VAN;</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Đối với chứng từ nộp thuế điện tử: là ngày ghi trên Thông báo tiếp nhận chứng từ nộp thuế điện tử của cơ quan thuế gửi cho người nộp thuế qua Cổng thông tin điện tử của Tổng cục Thuế hoặc qua tổ chức cung cấp dịch vụ T-VAN;</w:t>
      </w:r>
    </w:p>
    <w:p w:rsidR="00834434" w:rsidRPr="00834434" w:rsidRDefault="00834434" w:rsidP="00834434">
      <w:pPr>
        <w:shd w:val="clear" w:color="auto" w:fill="FFFFFF"/>
        <w:spacing w:before="75" w:after="0" w:line="375" w:lineRule="atLeast"/>
        <w:jc w:val="both"/>
        <w:rPr>
          <w:rFonts w:asciiTheme="majorHAnsi" w:eastAsia="Times New Roman" w:hAnsiTheme="majorHAnsi" w:cstheme="majorHAnsi"/>
          <w:color w:val="222222"/>
          <w:sz w:val="28"/>
          <w:szCs w:val="28"/>
          <w:lang w:eastAsia="vi-VN"/>
        </w:rPr>
      </w:pPr>
      <w:r w:rsidRPr="00834434">
        <w:rPr>
          <w:rFonts w:asciiTheme="majorHAnsi" w:eastAsia="Times New Roman" w:hAnsiTheme="majorHAnsi" w:cstheme="majorHAnsi"/>
          <w:color w:val="222222"/>
          <w:sz w:val="28"/>
          <w:szCs w:val="28"/>
          <w:lang w:eastAsia="vi-VN"/>
        </w:rPr>
        <w:t>- Đối với hồ sơ hoàn thuế điện tử: là ngày ghi trên Thông báo chấp nhận hồ sơ hoàn thuế điện tử của cơ quan thuế gửi cho người nộp thuế qua Cổng thông tin điện tử của Tổng cục Thuế hoặc qua tổ chức cung cấp dịch vụ T-VAN.</w:t>
      </w:r>
    </w:p>
    <w:p w:rsidR="0028777C" w:rsidRPr="00834434" w:rsidRDefault="0028777C" w:rsidP="00834434">
      <w:pPr>
        <w:jc w:val="both"/>
        <w:rPr>
          <w:rFonts w:asciiTheme="majorHAnsi" w:hAnsiTheme="majorHAnsi" w:cstheme="majorHAnsi"/>
          <w:sz w:val="28"/>
          <w:szCs w:val="28"/>
        </w:rPr>
      </w:pPr>
    </w:p>
    <w:sectPr w:rsidR="0028777C" w:rsidRPr="00834434" w:rsidSect="00834434">
      <w:pgSz w:w="11906" w:h="16838"/>
      <w:pgMar w:top="851" w:right="707"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34434"/>
    <w:rsid w:val="0028777C"/>
    <w:rsid w:val="0083443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7C"/>
  </w:style>
  <w:style w:type="paragraph" w:styleId="Heading1">
    <w:name w:val="heading 1"/>
    <w:basedOn w:val="Normal"/>
    <w:link w:val="Heading1Char"/>
    <w:uiPriority w:val="9"/>
    <w:qFormat/>
    <w:rsid w:val="008344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434"/>
    <w:rPr>
      <w:rFonts w:ascii="Times New Roman" w:eastAsia="Times New Roman" w:hAnsi="Times New Roman" w:cs="Times New Roman"/>
      <w:b/>
      <w:bCs/>
      <w:kern w:val="36"/>
      <w:sz w:val="48"/>
      <w:szCs w:val="48"/>
      <w:lang w:eastAsia="vi-VN"/>
    </w:rPr>
  </w:style>
  <w:style w:type="paragraph" w:styleId="NormalWeb">
    <w:name w:val="Normal (Web)"/>
    <w:basedOn w:val="Normal"/>
    <w:uiPriority w:val="99"/>
    <w:semiHidden/>
    <w:unhideWhenUsed/>
    <w:rsid w:val="0083443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834434"/>
    <w:rPr>
      <w:i/>
      <w:iCs/>
    </w:rPr>
  </w:style>
  <w:style w:type="character" w:styleId="Strong">
    <w:name w:val="Strong"/>
    <w:basedOn w:val="DefaultParagraphFont"/>
    <w:uiPriority w:val="22"/>
    <w:qFormat/>
    <w:rsid w:val="00834434"/>
    <w:rPr>
      <w:b/>
      <w:bCs/>
    </w:rPr>
  </w:style>
  <w:style w:type="character" w:styleId="Hyperlink">
    <w:name w:val="Hyperlink"/>
    <w:basedOn w:val="DefaultParagraphFont"/>
    <w:uiPriority w:val="99"/>
    <w:semiHidden/>
    <w:unhideWhenUsed/>
    <w:rsid w:val="00834434"/>
    <w:rPr>
      <w:color w:val="0000FF"/>
      <w:u w:val="single"/>
    </w:rPr>
  </w:style>
</w:styles>
</file>

<file path=word/webSettings.xml><?xml version="1.0" encoding="utf-8"?>
<w:webSettings xmlns:r="http://schemas.openxmlformats.org/officeDocument/2006/relationships" xmlns:w="http://schemas.openxmlformats.org/wordprocessingml/2006/main">
  <w:divs>
    <w:div w:id="1981568701">
      <w:bodyDiv w:val="1"/>
      <w:marLeft w:val="0"/>
      <w:marRight w:val="0"/>
      <w:marTop w:val="0"/>
      <w:marBottom w:val="0"/>
      <w:divBdr>
        <w:top w:val="none" w:sz="0" w:space="0" w:color="auto"/>
        <w:left w:val="none" w:sz="0" w:space="0" w:color="auto"/>
        <w:bottom w:val="none" w:sz="0" w:space="0" w:color="auto"/>
        <w:right w:val="none" w:sz="0" w:space="0" w:color="auto"/>
      </w:divBdr>
      <w:divsChild>
        <w:div w:id="1044477256">
          <w:marLeft w:val="0"/>
          <w:marRight w:val="0"/>
          <w:marTop w:val="0"/>
          <w:marBottom w:val="0"/>
          <w:divBdr>
            <w:top w:val="none" w:sz="0" w:space="0" w:color="auto"/>
            <w:left w:val="none" w:sz="0" w:space="0" w:color="auto"/>
            <w:bottom w:val="none" w:sz="0" w:space="0" w:color="auto"/>
            <w:right w:val="none" w:sz="0" w:space="0" w:color="auto"/>
          </w:divBdr>
          <w:divsChild>
            <w:div w:id="3940825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e-toan/thong-tu-68-2019-tt-btc-huong-dan-ve-hoa-don-dien-tu-177381-d1.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uatvietnam.vn/nong-nghiep/thong-tu-10-2019-tt-bnnptnt-thuoc-bao-ve-thuc-vat-duoc-phep-su-dung-cam-su-dung-177025-d1.html" TargetMode="External"/><Relationship Id="rId12" Type="http://schemas.openxmlformats.org/officeDocument/2006/relationships/hyperlink" Target="https://luatvietnam.vn/thue/thong-tu-66-2019-tt-btc-sua-doi-thong-tu-110-2015-ve-giao-dich-dien-tu-trong-linh-vuc-thue-177581-d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hinh-su/nghi-quyet-06-2019-nq-hdtp-huong-dan-xet-xu-xam-hai-tinh-duc-nguoi-duoi-18-tuoi-177446-d1.html" TargetMode="External"/><Relationship Id="rId11" Type="http://schemas.openxmlformats.org/officeDocument/2006/relationships/hyperlink" Target="https://luatvietnam.vn/dan-su/nghi-dinh-77-2019-nd-cp-ve-to-hop-tac-177420-d1.html" TargetMode="External"/><Relationship Id="rId5" Type="http://schemas.openxmlformats.org/officeDocument/2006/relationships/hyperlink" Target="https://luatvietnam.vn/thuong-mai/thong-tu-18-2019-tt-bct-quy-dinh-ve-hoat-dong-cong-vu-cua-luc-luong-quan-ly-thi-truong-177452-d1.html" TargetMode="External"/><Relationship Id="rId10" Type="http://schemas.openxmlformats.org/officeDocument/2006/relationships/hyperlink" Target="https://luatvietnam.vn/lao-dong/nghi-dinh-74-2019-nd-cp-sua-doi-chinh-sach-ho-tro-tao-viec-lam-177066-d1.html" TargetMode="External"/><Relationship Id="rId4" Type="http://schemas.openxmlformats.org/officeDocument/2006/relationships/hyperlink" Target="https://luatvietnam.vn/so-huu-tri-tue/luat-sua-doi-luat-kinh-doanh-bao-hiem-luat-so-huu-tri-tue-2019-175004-d1.html" TargetMode="External"/><Relationship Id="rId9" Type="http://schemas.openxmlformats.org/officeDocument/2006/relationships/hyperlink" Target="https://luatvietnam.vn/hanh-chinh/thong-tu-11-2019-tt-bnv-bai-bo-mot-so-van-ban-quy-pham-phap-luat-177183-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2019-11-15T06:51:00Z</dcterms:created>
  <dcterms:modified xsi:type="dcterms:W3CDTF">2019-11-15T06:54:00Z</dcterms:modified>
</cp:coreProperties>
</file>