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5"/>
      </w:tblGrid>
      <w:tr w:rsidR="00232E36" w:rsidTr="00430559">
        <w:tc>
          <w:tcPr>
            <w:tcW w:w="4537" w:type="dxa"/>
          </w:tcPr>
          <w:p w:rsidR="00232E36" w:rsidRDefault="00D51F3D" w:rsidP="00232E36">
            <w:pPr>
              <w:jc w:val="center"/>
            </w:pPr>
            <w:r>
              <w:t>CÔNG AN HUYỆN CẨM XUYÊN</w:t>
            </w:r>
          </w:p>
          <w:p w:rsidR="00232E36" w:rsidRPr="00232E36" w:rsidRDefault="00D51F3D" w:rsidP="00FC002A">
            <w:pPr>
              <w:jc w:val="center"/>
              <w:rPr>
                <w:b/>
              </w:rPr>
            </w:pPr>
            <w:r>
              <w:rPr>
                <w:b/>
              </w:rPr>
              <w:t>CÔNG AN XÃ CẨM LĨNH</w:t>
            </w:r>
          </w:p>
        </w:tc>
        <w:tc>
          <w:tcPr>
            <w:tcW w:w="6095" w:type="dxa"/>
          </w:tcPr>
          <w:p w:rsidR="00232E36" w:rsidRPr="00232E36" w:rsidRDefault="00232E36" w:rsidP="00232E36">
            <w:pPr>
              <w:jc w:val="center"/>
              <w:rPr>
                <w:b/>
              </w:rPr>
            </w:pPr>
            <w:r w:rsidRPr="00232E36">
              <w:rPr>
                <w:b/>
              </w:rPr>
              <w:t>CỘNG HÒA XÃ HỘI CHỦ NGHĨA VIỆT NAM</w:t>
            </w:r>
          </w:p>
          <w:p w:rsidR="00232E36" w:rsidRDefault="00232E36" w:rsidP="00232E36">
            <w:pPr>
              <w:jc w:val="center"/>
            </w:pPr>
            <w:r w:rsidRPr="00232E36">
              <w:rPr>
                <w:b/>
              </w:rPr>
              <w:t>Độc lập – Tự do – Hạnh phúc</w:t>
            </w:r>
          </w:p>
        </w:tc>
      </w:tr>
      <w:tr w:rsidR="00232E36" w:rsidTr="00430559">
        <w:tc>
          <w:tcPr>
            <w:tcW w:w="4537" w:type="dxa"/>
          </w:tcPr>
          <w:p w:rsidR="00232E36" w:rsidRDefault="00232E36" w:rsidP="00232E36">
            <w:pPr>
              <w:jc w:val="center"/>
            </w:pPr>
            <w:r>
              <w:rPr>
                <w:noProof/>
              </w:rPr>
              <mc:AlternateContent>
                <mc:Choice Requires="wps">
                  <w:drawing>
                    <wp:anchor distT="0" distB="0" distL="114300" distR="114300" simplePos="0" relativeHeight="251660288" behindDoc="0" locked="0" layoutInCell="1" allowOverlap="1" wp14:anchorId="6D5497A4" wp14:editId="614A6D5B">
                      <wp:simplePos x="0" y="0"/>
                      <wp:positionH relativeFrom="column">
                        <wp:posOffset>953966</wp:posOffset>
                      </wp:positionH>
                      <wp:positionV relativeFrom="paragraph">
                        <wp:posOffset>26670</wp:posOffset>
                      </wp:positionV>
                      <wp:extent cx="816715"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816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A348C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1pt,2.1pt" to="139.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" strokecolor="black [3200]" strokeweight=".5pt">
                      <v:stroke joinstyle="miter"/>
                    </v:line>
                  </w:pict>
                </mc:Fallback>
              </mc:AlternateContent>
            </w:r>
          </w:p>
          <w:p w:rsidR="00232E36" w:rsidRDefault="00232E36" w:rsidP="00232E36">
            <w:pPr>
              <w:jc w:val="center"/>
            </w:pPr>
            <w:r>
              <w:t>Số</w:t>
            </w:r>
            <w:r w:rsidR="00BF4887">
              <w:t>:        /</w:t>
            </w:r>
            <w:r w:rsidR="00A616BF">
              <w:t>CA</w:t>
            </w:r>
            <w:r w:rsidR="00334B9F">
              <w:t>X</w:t>
            </w:r>
          </w:p>
          <w:p w:rsidR="00010132" w:rsidRPr="00010132" w:rsidRDefault="00232E36" w:rsidP="00010132">
            <w:pPr>
              <w:jc w:val="center"/>
              <w:rPr>
                <w:i/>
                <w:sz w:val="26"/>
              </w:rPr>
            </w:pPr>
            <w:r w:rsidRPr="00010132">
              <w:rPr>
                <w:i/>
                <w:sz w:val="26"/>
              </w:rPr>
              <w:t xml:space="preserve">V/v </w:t>
            </w:r>
            <w:r w:rsidR="00586AFF">
              <w:rPr>
                <w:i/>
                <w:sz w:val="26"/>
              </w:rPr>
              <w:t>tuyên truyền</w:t>
            </w:r>
            <w:r w:rsidR="00010132" w:rsidRPr="00010132">
              <w:rPr>
                <w:i/>
                <w:sz w:val="26"/>
              </w:rPr>
              <w:t xml:space="preserve"> công tác phòng, chống tội phạm lừa đảo chiếm đoạt tài sản </w:t>
            </w:r>
          </w:p>
          <w:p w:rsidR="00232E36" w:rsidRDefault="00010132" w:rsidP="00010132">
            <w:pPr>
              <w:jc w:val="center"/>
            </w:pPr>
            <w:r w:rsidRPr="00010132">
              <w:rPr>
                <w:i/>
                <w:sz w:val="26"/>
              </w:rPr>
              <w:t>trên không gian mạng</w:t>
            </w:r>
          </w:p>
        </w:tc>
        <w:tc>
          <w:tcPr>
            <w:tcW w:w="6095" w:type="dxa"/>
          </w:tcPr>
          <w:p w:rsidR="00232E36" w:rsidRDefault="00232E36" w:rsidP="00232E36">
            <w:pPr>
              <w:jc w:val="center"/>
              <w:rPr>
                <w:b/>
              </w:rPr>
            </w:pPr>
            <w:r>
              <w:rPr>
                <w:b/>
                <w:noProof/>
              </w:rPr>
              <mc:AlternateContent>
                <mc:Choice Requires="wps">
                  <w:drawing>
                    <wp:anchor distT="0" distB="0" distL="114300" distR="114300" simplePos="0" relativeHeight="251659264" behindDoc="0" locked="0" layoutInCell="1" allowOverlap="1" wp14:anchorId="7F5222C8" wp14:editId="0D0D53FC">
                      <wp:simplePos x="0" y="0"/>
                      <wp:positionH relativeFrom="column">
                        <wp:posOffset>695862</wp:posOffset>
                      </wp:positionH>
                      <wp:positionV relativeFrom="paragraph">
                        <wp:posOffset>24765</wp:posOffset>
                      </wp:positionV>
                      <wp:extent cx="2342271"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3422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D3C88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8pt,1.95pt" to="239.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" strokecolor="black [3200]" strokeweight=".5pt">
                      <v:stroke joinstyle="miter"/>
                    </v:line>
                  </w:pict>
                </mc:Fallback>
              </mc:AlternateContent>
            </w:r>
          </w:p>
          <w:p w:rsidR="00232E36" w:rsidRPr="00232E36" w:rsidRDefault="00232E36" w:rsidP="00A616BF">
            <w:pPr>
              <w:jc w:val="center"/>
              <w:rPr>
                <w:i/>
              </w:rPr>
            </w:pPr>
            <w:r>
              <w:rPr>
                <w:i/>
              </w:rPr>
              <w:t>Cẩ</w:t>
            </w:r>
            <w:r w:rsidR="00D51F3D">
              <w:rPr>
                <w:i/>
              </w:rPr>
              <w:t>m Lĩnh</w:t>
            </w:r>
            <w:r w:rsidR="00586AFF">
              <w:rPr>
                <w:i/>
              </w:rPr>
              <w:t>, ngày 18</w:t>
            </w:r>
            <w:bookmarkStart w:id="0" w:name="_GoBack"/>
            <w:bookmarkEnd w:id="0"/>
            <w:r w:rsidR="00334B9F">
              <w:rPr>
                <w:i/>
              </w:rPr>
              <w:t xml:space="preserve"> tháng </w:t>
            </w:r>
            <w:r w:rsidR="00586AFF">
              <w:rPr>
                <w:i/>
              </w:rPr>
              <w:t>03</w:t>
            </w:r>
            <w:r w:rsidR="00334B9F">
              <w:rPr>
                <w:i/>
              </w:rPr>
              <w:t xml:space="preserve"> năm 202</w:t>
            </w:r>
            <w:r w:rsidR="00A616BF">
              <w:rPr>
                <w:i/>
              </w:rPr>
              <w:t>4</w:t>
            </w:r>
          </w:p>
        </w:tc>
      </w:tr>
    </w:tbl>
    <w:p w:rsidR="00232E36" w:rsidRPr="00C14F34" w:rsidRDefault="00232E36">
      <w:pPr>
        <w:rPr>
          <w:sz w:val="12"/>
        </w:rPr>
      </w:pPr>
    </w:p>
    <w:p w:rsidR="00BF4887" w:rsidRDefault="00334B9F" w:rsidP="00D51F3D">
      <w:pPr>
        <w:tabs>
          <w:tab w:val="left" w:pos="4198"/>
        </w:tabs>
        <w:spacing w:after="0"/>
      </w:pPr>
      <w:r>
        <w:t xml:space="preserve">                    </w:t>
      </w:r>
      <w:r w:rsidR="00232E36">
        <w:t xml:space="preserve">Kính gửi: </w:t>
      </w:r>
      <w:r w:rsidR="00D51F3D">
        <w:t>Toàn thể Nhân dân trên địa bàn xã Cẩm Lĩnh.</w:t>
      </w:r>
    </w:p>
    <w:p w:rsidR="004F7E4F" w:rsidRPr="005D148B" w:rsidRDefault="004F7E4F" w:rsidP="00232E36">
      <w:pPr>
        <w:tabs>
          <w:tab w:val="left" w:pos="4198"/>
        </w:tabs>
        <w:jc w:val="center"/>
        <w:rPr>
          <w:sz w:val="14"/>
        </w:rPr>
      </w:pPr>
    </w:p>
    <w:p w:rsidR="00010132" w:rsidRDefault="00010132" w:rsidP="005C055F">
      <w:pPr>
        <w:tabs>
          <w:tab w:val="left" w:pos="4198"/>
        </w:tabs>
        <w:spacing w:before="60" w:after="60" w:line="360" w:lineRule="exact"/>
        <w:ind w:firstLine="720"/>
        <w:jc w:val="both"/>
        <w:rPr>
          <w:rFonts w:cs="Times New Roman"/>
          <w:color w:val="000000"/>
          <w:szCs w:val="28"/>
          <w:shd w:val="clear" w:color="auto" w:fill="FFFFFF"/>
        </w:rPr>
      </w:pPr>
      <w:r w:rsidRPr="00D43A31">
        <w:rPr>
          <w:rFonts w:cs="Times New Roman"/>
          <w:color w:val="000000"/>
          <w:szCs w:val="28"/>
          <w:shd w:val="clear" w:color="auto" w:fill="FFFFFF"/>
        </w:rPr>
        <w:t>Thời gian gần đây, tình hình tội phạm sử dụng công nghệ cao lừa đảo chiếm đoạt tài sản trên cả nước và địa bàn tỉnh diễn biến phức tạp, có xu hướng gia tăng, phương thức thủ đoạn hoạt động ngày càng tinh vi, khó phát hiện, ảnh hưởng lớn đến tình hình an ninh, trật tự. Thời gian tới, với sự phát triển mạnh mẽ của công nghệ, viễn thông, dự báo tình hình tội phạm sử dụng công nghệ cao lừa đảo chiếm đoạt tài sản trên không gian mạng tiếp tục diễn biến phức tạp, gây ra hậu quả nghiêm trọng, ảnh hưởng trực tiếp đến quyền lợi, tài sản của cơ quan, tổ chức, cá nhân và tình hình an ninh trật tự trên địa bàn.</w:t>
      </w:r>
    </w:p>
    <w:p w:rsidR="00D43A31" w:rsidRPr="00D43A31" w:rsidRDefault="00C14F34" w:rsidP="00C14F34">
      <w:pPr>
        <w:tabs>
          <w:tab w:val="left" w:pos="4198"/>
        </w:tabs>
        <w:spacing w:before="60" w:after="60" w:line="360" w:lineRule="exact"/>
        <w:ind w:firstLine="720"/>
        <w:jc w:val="both"/>
        <w:rPr>
          <w:rFonts w:cs="Times New Roman"/>
          <w:color w:val="000000"/>
          <w:szCs w:val="28"/>
          <w:shd w:val="clear" w:color="auto" w:fill="FFFFFF"/>
        </w:rPr>
      </w:pPr>
      <w:r>
        <w:rPr>
          <w:rFonts w:cs="Times New Roman"/>
          <w:color w:val="000000"/>
          <w:szCs w:val="28"/>
          <w:shd w:val="clear" w:color="auto" w:fill="FFFFFF"/>
        </w:rPr>
        <w:t xml:space="preserve">- </w:t>
      </w:r>
      <w:r w:rsidR="00D43A31">
        <w:rPr>
          <w:rFonts w:cs="Times New Roman"/>
          <w:color w:val="000000"/>
          <w:szCs w:val="28"/>
          <w:shd w:val="clear" w:color="auto" w:fill="FFFFFF"/>
        </w:rPr>
        <w:t xml:space="preserve">Các thủ đoạn lừa đảo </w:t>
      </w:r>
      <w:r>
        <w:rPr>
          <w:rFonts w:cs="Times New Roman"/>
          <w:color w:val="000000"/>
          <w:szCs w:val="28"/>
          <w:shd w:val="clear" w:color="auto" w:fill="FFFFFF"/>
        </w:rPr>
        <w:t xml:space="preserve">phổ biến </w:t>
      </w:r>
      <w:r w:rsidR="00D43A31">
        <w:rPr>
          <w:rFonts w:cs="Times New Roman"/>
          <w:color w:val="000000"/>
          <w:szCs w:val="28"/>
          <w:shd w:val="clear" w:color="auto" w:fill="FFFFFF"/>
        </w:rPr>
        <w:t>hiệ</w:t>
      </w:r>
      <w:r>
        <w:rPr>
          <w:rFonts w:cs="Times New Roman"/>
          <w:color w:val="000000"/>
          <w:szCs w:val="28"/>
          <w:shd w:val="clear" w:color="auto" w:fill="FFFFFF"/>
        </w:rPr>
        <w:t>n nay:</w:t>
      </w:r>
      <w:r w:rsidR="00D43A31">
        <w:rPr>
          <w:rFonts w:cs="Times New Roman"/>
          <w:color w:val="000000"/>
          <w:szCs w:val="28"/>
          <w:shd w:val="clear" w:color="auto" w:fill="FFFFFF"/>
        </w:rPr>
        <w:t xml:space="preserve"> Tự xưng là cơ quan chức năng (Công an, Viện kiểm sát, Tòa án,…) gọi điện thông báo điều tra, kiểm tra, truy nã,…; Hack/giả mạo facebook</w:t>
      </w:r>
      <w:r w:rsidR="00B8706B">
        <w:rPr>
          <w:rFonts w:cs="Times New Roman"/>
          <w:color w:val="000000"/>
          <w:szCs w:val="28"/>
          <w:shd w:val="clear" w:color="auto" w:fill="FFFFFF"/>
        </w:rPr>
        <w:t>, Zalo nhắn tin mượn tiền; gửi đường link lạ để đánh cắp thông tin tài khoản ngân hàng; nhận quà từ bạn ở nước ngoài quen qua mạng xã hội; mời nâng cấp sim điện thoại để chiếm đoạt; kêu gọi đầu tư tài chính, tiền ảo để chiếm đoạt; tuyển cộng tác viên kiếm tiền online; giả danh nhà mạng, công ty sổ số, cán bộ ngân hàng</w:t>
      </w:r>
      <w:r>
        <w:rPr>
          <w:rFonts w:cs="Times New Roman"/>
          <w:color w:val="000000"/>
          <w:szCs w:val="28"/>
          <w:shd w:val="clear" w:color="auto" w:fill="FFFFFF"/>
        </w:rPr>
        <w:t>,…</w:t>
      </w:r>
    </w:p>
    <w:p w:rsidR="00010132" w:rsidRPr="00C14F34" w:rsidRDefault="00C14F34" w:rsidP="00C14F34">
      <w:pPr>
        <w:pStyle w:val="vnbnnidung0"/>
        <w:shd w:val="clear" w:color="auto" w:fill="FFFFFF"/>
        <w:spacing w:before="0" w:beforeAutospacing="0" w:after="0" w:afterAutospacing="0" w:line="400" w:lineRule="atLeast"/>
        <w:ind w:firstLine="567"/>
        <w:jc w:val="both"/>
        <w:rPr>
          <w:color w:val="212529"/>
          <w:sz w:val="28"/>
          <w:szCs w:val="28"/>
        </w:rPr>
      </w:pPr>
      <w:r>
        <w:rPr>
          <w:bCs/>
          <w:color w:val="212529"/>
          <w:sz w:val="28"/>
          <w:szCs w:val="28"/>
        </w:rPr>
        <w:t xml:space="preserve">- </w:t>
      </w:r>
      <w:r w:rsidRPr="00C14F34">
        <w:rPr>
          <w:bCs/>
          <w:color w:val="212529"/>
          <w:sz w:val="28"/>
          <w:szCs w:val="28"/>
        </w:rPr>
        <w:t>Đề chủ động phòng ngừa, Công an xã Cẩm Lĩnh khuyến cáo n</w:t>
      </w:r>
      <w:r w:rsidR="00010132" w:rsidRPr="00C14F34">
        <w:rPr>
          <w:bCs/>
          <w:color w:val="212529"/>
          <w:sz w:val="28"/>
          <w:szCs w:val="28"/>
        </w:rPr>
        <w:t>gười dân thực hiện các biện pháp phòng ngừa tội p</w:t>
      </w:r>
      <w:r>
        <w:rPr>
          <w:bCs/>
          <w:color w:val="212529"/>
          <w:sz w:val="28"/>
          <w:szCs w:val="28"/>
        </w:rPr>
        <w:t>hạm lừa đảo chiếm đoạt tài sản như sau:</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1.</w:t>
      </w:r>
      <w:r w:rsidRPr="00D43A31">
        <w:rPr>
          <w:color w:val="212529"/>
          <w:sz w:val="28"/>
          <w:szCs w:val="28"/>
        </w:rPr>
        <w:t> Đề cao cảnh giác khi nhận các cuộc gọi đến bằng số điện thoại cố định, người gọi tự xưng là cán bộ các cơ quan Nhà nước, đặc biệt là lực lượng Công an để thông báo, yêu cầu điều tra vụ án qua điện thoại, không cung cấp thông tin cá nhân, số điện thoại, địa chỉ nhà ở..., đặc biệt không nghe lời của các đối tượng chuyển tiền vào các tài khoản được chỉ định. Lực lượng chức năng, nhất là lực lượng Công an, Viện kiểm sát, Tòa án nếu làm việc với người dân sẽ có giấy mời, giấy triệu tập gửi cho người đó và làm việc trực tiếp tại các trụ sở cơ quan, không làm việc Online qua mạng.</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2.</w:t>
      </w:r>
      <w:r w:rsidRPr="00D43A31">
        <w:rPr>
          <w:color w:val="212529"/>
          <w:sz w:val="28"/>
          <w:szCs w:val="28"/>
        </w:rPr>
        <w:t> Không công khai các thông tin cá nhân như: ngày tháng năm sinh, số CMND/CCCD, số điện thoại, số tài khoản ngân hàng ... lên mạng xã hội để tránh bị các đối tượng lợi dụng khai thác, sử dụng vào mục đích lừa đảo; chọn lọc những thông tin cụ thể khi chia sẻ công khai lên mạng xã hội.</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lastRenderedPageBreak/>
        <w:t>3.</w:t>
      </w:r>
      <w:r w:rsidRPr="00D43A31">
        <w:rPr>
          <w:color w:val="212529"/>
          <w:sz w:val="28"/>
          <w:szCs w:val="28"/>
        </w:rPr>
        <w:t> Thường xuyên kiểm tra và cập nhật các tính năng bảo mật, quyền riêng tư trên các tài khoản ngân hàng, tài khoản mạng xã hội và bảo mật tuyệt đối về thông tin của các tài khoản trên gồm: tên đăng nhập, mật khẩu, mã xác thực (OTP) hoặc số thẻ tín dụng,... không cung cấp cho bất kỳ cá nhân, tổ chức nào mà chưa xác định được nguồn gốc.</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4.</w:t>
      </w:r>
      <w:r w:rsidRPr="00D43A31">
        <w:rPr>
          <w:color w:val="212529"/>
          <w:sz w:val="28"/>
          <w:szCs w:val="28"/>
        </w:rPr>
        <w:t> Không truy cập các đường link trong tin nhắn, email lạ không rõ nguồn gốc; không thực hiện giao dịch theo yêu cầu của các đối tượng lạ khi nhận được điện thoại, tin nhắn có nội dung liên quan đến giao dịch ngân hàng.</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5.</w:t>
      </w:r>
      <w:r w:rsidRPr="00D43A31">
        <w:rPr>
          <w:color w:val="212529"/>
          <w:sz w:val="28"/>
          <w:szCs w:val="28"/>
        </w:rPr>
        <w:t> Cảnh giác khi tiếp cận website, ứng dụng (App) trong các tin nhắn mà người dùng nhận được, bao gồm các tin nhắn thương hiệu, tin nhắn từ các đầu số ngắn; tuyệt đối không truy cập vào các website, ứng dụng có nguồn gốc, nội dung không rõ ràng.</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6.</w:t>
      </w:r>
      <w:r w:rsidRPr="00D43A31">
        <w:rPr>
          <w:color w:val="212529"/>
          <w:sz w:val="28"/>
          <w:szCs w:val="28"/>
        </w:rPr>
        <w:t> Cảnh giác, không tin tưởng vào những chiêu trò nhận thưởng qua mạng mà yêu cầu nạp thẻ điện thoại, hoặc chuyển tiền qua tài khoản ngân hàng để làm thủ tục nhận thưởng. Tìm hiểu kỹ thông tin khi kết bạn với những người lạ trên mạng xã hội, đặc biệt là những người hứa hẹn cho, tặng số tiền, tài sản lớn, không rõ lý do.</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7.</w:t>
      </w:r>
      <w:r w:rsidRPr="00D43A31">
        <w:rPr>
          <w:color w:val="212529"/>
          <w:sz w:val="28"/>
          <w:szCs w:val="28"/>
        </w:rPr>
        <w:t> Cảnh giác với những trang web giả mạo dịch vụ chuyển tiền quốc tế, trang web ngân hàng... lưu ý chí nên nhập thông tin tài khoản ngân hàng trên trang web, ứng dụng chính thức của ngân hàng có uy tín.</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8.</w:t>
      </w:r>
      <w:r w:rsidRPr="00D43A31">
        <w:rPr>
          <w:color w:val="212529"/>
          <w:sz w:val="28"/>
          <w:szCs w:val="28"/>
        </w:rPr>
        <w:t> Đối với các tin nhắn qua mạng xã hội, qua điện thoại người quen, bạn bè nhờ mua thẻ điện thoại, nhờ chuyển tiền hộ cần gọi điện trực tiếp (nếu có thể nên gọi video call) để xác nhận thông tin trước khi chuyển tiền yêu cầu của người đó.</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9.</w:t>
      </w:r>
      <w:r w:rsidRPr="00D43A31">
        <w:rPr>
          <w:color w:val="212529"/>
          <w:sz w:val="28"/>
          <w:szCs w:val="28"/>
        </w:rPr>
        <w:t> Đối với các cá nhân có nhu cầu chuyển, nhận tiền từ nước ngoài về thì gửi nhận thông qua ngân hàng có uy tín, không sử dụng các dịch vụ chuyển tiền, đổi tiền quốc tế của các cá nhân, tổ chức không hợp pháp.</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10.</w:t>
      </w:r>
      <w:r w:rsidRPr="00D43A31">
        <w:rPr>
          <w:color w:val="212529"/>
          <w:sz w:val="28"/>
          <w:szCs w:val="28"/>
        </w:rPr>
        <w:t> Không mở hộ, cho thuê, bán tài khoản ngân hàng cho người khác, đặc biệt là những đối tượng không quen biết. Khi phát hiện đối tượng có hành vi mua, thuê người khác mở tài khoản ngân hàng cần báo ngay cho Cơ quan Công an để có biện pháp xử lý theo quy định cúa pháp luật.</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11.</w:t>
      </w:r>
      <w:r w:rsidRPr="00D43A31">
        <w:rPr>
          <w:color w:val="212529"/>
          <w:sz w:val="28"/>
          <w:szCs w:val="28"/>
        </w:rPr>
        <w:t> Không cài đặt lên điện thoại, máy tính các ứng dụng chưa được xác thực trên kho ứng dụng trước yêu cầu của đối tượng lạ.</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lastRenderedPageBreak/>
        <w:t>12.</w:t>
      </w:r>
      <w:r w:rsidRPr="00D43A31">
        <w:rPr>
          <w:color w:val="212529"/>
          <w:sz w:val="28"/>
          <w:szCs w:val="28"/>
        </w:rPr>
        <w:t> Khi phát hiện sim điện thoại bị vô hiệu hóa, cần gọi ngay cho bộ phận chăm sóc khách hàng của nhà mạng để yêu cầu hỗ trợ, xác minh. Nếu bị mất điện thoại, cần khẩn trương báo nhà mạng khóa sim kịp thời.</w:t>
      </w:r>
    </w:p>
    <w:p w:rsidR="00010132" w:rsidRPr="00D43A31" w:rsidRDefault="00010132" w:rsidP="00010132">
      <w:pPr>
        <w:pStyle w:val="vnbnnidung0"/>
        <w:shd w:val="clear" w:color="auto" w:fill="FFFFFF"/>
        <w:spacing w:before="120" w:beforeAutospacing="0" w:after="120" w:afterAutospacing="0" w:line="400" w:lineRule="atLeast"/>
        <w:ind w:firstLine="567"/>
        <w:jc w:val="both"/>
        <w:rPr>
          <w:color w:val="212529"/>
          <w:sz w:val="28"/>
          <w:szCs w:val="28"/>
        </w:rPr>
      </w:pPr>
      <w:r w:rsidRPr="00D43A31">
        <w:rPr>
          <w:b/>
          <w:bCs/>
          <w:color w:val="212529"/>
          <w:sz w:val="28"/>
          <w:szCs w:val="28"/>
        </w:rPr>
        <w:t>13.</w:t>
      </w:r>
      <w:r w:rsidRPr="00D43A31">
        <w:rPr>
          <w:color w:val="212529"/>
          <w:sz w:val="28"/>
          <w:szCs w:val="28"/>
        </w:rPr>
        <w:t> Khi mua hàng Online tìm hiểu kỹ thông tin về người bán, xem xét nguồn gốc rõ ràng, tuyệt đối không mua ở những trang mạng xã hội không có thông tin người bán và không có địa chỉ rõ ràng, hoặc khi hỏi thông tin thì cố tình giấu địa chỉ bán hàng, chỉ nhận đặt hàng qua tin nhắn, chỉ bán hàng Online chứ không có cửa hàng cụ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5"/>
      </w:tblGrid>
      <w:tr w:rsidR="00BE12F0" w:rsidTr="00137446">
        <w:tc>
          <w:tcPr>
            <w:tcW w:w="4106" w:type="dxa"/>
          </w:tcPr>
          <w:p w:rsidR="00BE12F0" w:rsidRPr="00BE12F0" w:rsidRDefault="00BE12F0" w:rsidP="00BE12F0">
            <w:pPr>
              <w:tabs>
                <w:tab w:val="left" w:pos="4198"/>
              </w:tabs>
              <w:rPr>
                <w:b/>
                <w:i/>
                <w:sz w:val="22"/>
              </w:rPr>
            </w:pPr>
            <w:r w:rsidRPr="00BE12F0">
              <w:rPr>
                <w:b/>
                <w:i/>
                <w:sz w:val="22"/>
              </w:rPr>
              <w:t>Nơi nhận:</w:t>
            </w:r>
          </w:p>
          <w:p w:rsidR="00BE12F0" w:rsidRPr="00BE12F0" w:rsidRDefault="00BE12F0" w:rsidP="00BE12F0">
            <w:pPr>
              <w:tabs>
                <w:tab w:val="left" w:pos="4198"/>
              </w:tabs>
              <w:rPr>
                <w:sz w:val="24"/>
                <w:szCs w:val="24"/>
              </w:rPr>
            </w:pPr>
            <w:r w:rsidRPr="00BE12F0">
              <w:rPr>
                <w:sz w:val="24"/>
                <w:szCs w:val="24"/>
              </w:rPr>
              <w:t>- Như kính gửi;</w:t>
            </w:r>
          </w:p>
          <w:p w:rsidR="00BE12F0" w:rsidRDefault="00BE12F0" w:rsidP="001E1454">
            <w:pPr>
              <w:tabs>
                <w:tab w:val="left" w:pos="4198"/>
              </w:tabs>
            </w:pPr>
            <w:r w:rsidRPr="00BE12F0">
              <w:rPr>
                <w:sz w:val="24"/>
                <w:szCs w:val="24"/>
              </w:rPr>
              <w:t>-</w:t>
            </w:r>
            <w:r w:rsidR="001E1454">
              <w:rPr>
                <w:sz w:val="24"/>
                <w:szCs w:val="24"/>
              </w:rPr>
              <w:t xml:space="preserve"> Lưu: </w:t>
            </w:r>
            <w:r w:rsidR="00D51F3D">
              <w:rPr>
                <w:sz w:val="24"/>
                <w:szCs w:val="24"/>
              </w:rPr>
              <w:t>CAX</w:t>
            </w:r>
            <w:r w:rsidRPr="00BE12F0">
              <w:rPr>
                <w:sz w:val="24"/>
                <w:szCs w:val="24"/>
              </w:rPr>
              <w:t>.</w:t>
            </w:r>
          </w:p>
        </w:tc>
        <w:tc>
          <w:tcPr>
            <w:tcW w:w="4955" w:type="dxa"/>
          </w:tcPr>
          <w:p w:rsidR="00BE12F0" w:rsidRDefault="00C14F34" w:rsidP="00BE12F0">
            <w:pPr>
              <w:tabs>
                <w:tab w:val="left" w:pos="4198"/>
              </w:tabs>
              <w:jc w:val="center"/>
              <w:rPr>
                <w:b/>
              </w:rPr>
            </w:pPr>
            <w:r>
              <w:rPr>
                <w:b/>
              </w:rPr>
              <w:t xml:space="preserve">KT. </w:t>
            </w:r>
            <w:r w:rsidR="00CE3636">
              <w:rPr>
                <w:b/>
              </w:rPr>
              <w:t>TRƯỞNG CÔNG AN XÃ</w:t>
            </w:r>
          </w:p>
          <w:p w:rsidR="00C14F34" w:rsidRPr="00BE12F0" w:rsidRDefault="00C14F34" w:rsidP="00BE12F0">
            <w:pPr>
              <w:tabs>
                <w:tab w:val="left" w:pos="4198"/>
              </w:tabs>
              <w:jc w:val="center"/>
              <w:rPr>
                <w:b/>
              </w:rPr>
            </w:pPr>
            <w:r>
              <w:rPr>
                <w:b/>
              </w:rPr>
              <w:t>PHÓ TRƯỞNG CÔNG AN</w:t>
            </w:r>
          </w:p>
          <w:p w:rsidR="006D68A5" w:rsidRDefault="006D68A5" w:rsidP="00BE12F0">
            <w:pPr>
              <w:tabs>
                <w:tab w:val="left" w:pos="4198"/>
              </w:tabs>
              <w:jc w:val="center"/>
              <w:rPr>
                <w:b/>
              </w:rPr>
            </w:pPr>
          </w:p>
          <w:p w:rsidR="006D68A5" w:rsidRDefault="009D0A6C" w:rsidP="00BE12F0">
            <w:pPr>
              <w:tabs>
                <w:tab w:val="left" w:pos="4198"/>
              </w:tabs>
              <w:jc w:val="center"/>
              <w:rPr>
                <w:b/>
              </w:rPr>
            </w:pPr>
            <w:r>
              <w:rPr>
                <w:b/>
              </w:rPr>
              <w:t>(đã ký)</w:t>
            </w:r>
          </w:p>
          <w:p w:rsidR="006D68A5" w:rsidRDefault="006D68A5" w:rsidP="00BE12F0">
            <w:pPr>
              <w:tabs>
                <w:tab w:val="left" w:pos="4198"/>
              </w:tabs>
              <w:jc w:val="center"/>
              <w:rPr>
                <w:b/>
              </w:rPr>
            </w:pPr>
          </w:p>
          <w:p w:rsidR="006D68A5" w:rsidRDefault="006D68A5" w:rsidP="00BE12F0">
            <w:pPr>
              <w:tabs>
                <w:tab w:val="left" w:pos="4198"/>
              </w:tabs>
              <w:jc w:val="center"/>
              <w:rPr>
                <w:b/>
              </w:rPr>
            </w:pPr>
          </w:p>
          <w:p w:rsidR="00BE12F0" w:rsidRPr="00BE12F0" w:rsidRDefault="00C14F34" w:rsidP="005E6C8E">
            <w:pPr>
              <w:tabs>
                <w:tab w:val="left" w:pos="4198"/>
              </w:tabs>
              <w:jc w:val="center"/>
              <w:rPr>
                <w:b/>
              </w:rPr>
            </w:pPr>
            <w:r>
              <w:rPr>
                <w:b/>
              </w:rPr>
              <w:t>Thượng úy Hà Huy Bách</w:t>
            </w:r>
          </w:p>
          <w:p w:rsidR="00BE12F0" w:rsidRDefault="00BE12F0" w:rsidP="005E6C8E">
            <w:pPr>
              <w:tabs>
                <w:tab w:val="left" w:pos="4198"/>
              </w:tabs>
            </w:pPr>
          </w:p>
        </w:tc>
      </w:tr>
    </w:tbl>
    <w:p w:rsidR="00232E36" w:rsidRPr="00232E36" w:rsidRDefault="00232E36" w:rsidP="005E6C8E">
      <w:pPr>
        <w:tabs>
          <w:tab w:val="left" w:pos="4198"/>
        </w:tabs>
      </w:pPr>
    </w:p>
    <w:sectPr w:rsidR="00232E36" w:rsidRPr="00232E36" w:rsidSect="00137446">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36"/>
    <w:rsid w:val="00010132"/>
    <w:rsid w:val="0001640C"/>
    <w:rsid w:val="00137446"/>
    <w:rsid w:val="001E1454"/>
    <w:rsid w:val="001E1B0F"/>
    <w:rsid w:val="00232E36"/>
    <w:rsid w:val="002800FA"/>
    <w:rsid w:val="002A7179"/>
    <w:rsid w:val="003273AC"/>
    <w:rsid w:val="00334B9F"/>
    <w:rsid w:val="00334D6B"/>
    <w:rsid w:val="004009D8"/>
    <w:rsid w:val="00430559"/>
    <w:rsid w:val="004622DE"/>
    <w:rsid w:val="00465A5D"/>
    <w:rsid w:val="0046622E"/>
    <w:rsid w:val="004F643B"/>
    <w:rsid w:val="004F7E4F"/>
    <w:rsid w:val="005004A0"/>
    <w:rsid w:val="005250B3"/>
    <w:rsid w:val="00586AFF"/>
    <w:rsid w:val="005C055F"/>
    <w:rsid w:val="005D148B"/>
    <w:rsid w:val="005E6C8E"/>
    <w:rsid w:val="005F32BD"/>
    <w:rsid w:val="00627341"/>
    <w:rsid w:val="00642991"/>
    <w:rsid w:val="006D68A5"/>
    <w:rsid w:val="007A3E39"/>
    <w:rsid w:val="007A5800"/>
    <w:rsid w:val="00801A8C"/>
    <w:rsid w:val="00875277"/>
    <w:rsid w:val="009D0A6C"/>
    <w:rsid w:val="00A616BF"/>
    <w:rsid w:val="00B8706B"/>
    <w:rsid w:val="00BE12F0"/>
    <w:rsid w:val="00BF4887"/>
    <w:rsid w:val="00C14F34"/>
    <w:rsid w:val="00C93F98"/>
    <w:rsid w:val="00CE3636"/>
    <w:rsid w:val="00D24E5F"/>
    <w:rsid w:val="00D43A31"/>
    <w:rsid w:val="00D51F3D"/>
    <w:rsid w:val="00DE0A3E"/>
    <w:rsid w:val="00E56C36"/>
    <w:rsid w:val="00EA0FCA"/>
    <w:rsid w:val="00F07390"/>
    <w:rsid w:val="00FC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3A87"/>
  <w15:chartTrackingRefBased/>
  <w15:docId w15:val="{171362EE-0DF9-46A8-A874-9003E320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7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446"/>
    <w:rPr>
      <w:rFonts w:ascii="Segoe UI" w:hAnsi="Segoe UI" w:cs="Segoe UI"/>
      <w:sz w:val="18"/>
      <w:szCs w:val="18"/>
    </w:rPr>
  </w:style>
  <w:style w:type="character" w:styleId="Hyperlink">
    <w:name w:val="Hyperlink"/>
    <w:basedOn w:val="DefaultParagraphFont"/>
    <w:uiPriority w:val="99"/>
    <w:unhideWhenUsed/>
    <w:rsid w:val="004F643B"/>
    <w:rPr>
      <w:color w:val="0563C1" w:themeColor="hyperlink"/>
      <w:u w:val="single"/>
    </w:rPr>
  </w:style>
  <w:style w:type="paragraph" w:customStyle="1" w:styleId="vnbnnidung0">
    <w:name w:val="vnbnnidung0"/>
    <w:basedOn w:val="Normal"/>
    <w:rsid w:val="0001013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71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cp:lastPrinted>2022-09-05T08:11:00Z</cp:lastPrinted>
  <dcterms:created xsi:type="dcterms:W3CDTF">2022-09-05T02:15:00Z</dcterms:created>
  <dcterms:modified xsi:type="dcterms:W3CDTF">2024-03-18T04:00:00Z</dcterms:modified>
</cp:coreProperties>
</file>